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CC55FD" w14:paraId="52219895" w14:textId="77777777" w:rsidTr="00270D56">
        <w:trPr>
          <w:trHeight w:val="701"/>
        </w:trPr>
        <w:tc>
          <w:tcPr>
            <w:tcW w:w="5328" w:type="dxa"/>
            <w:vAlign w:val="center"/>
          </w:tcPr>
          <w:p w14:paraId="63BC1E3B" w14:textId="77777777" w:rsidR="009F145B" w:rsidRPr="00A62440" w:rsidRDefault="009F145B" w:rsidP="00A62440">
            <w:pPr>
              <w:spacing w:after="0" w:line="240" w:lineRule="auto"/>
              <w:rPr>
                <w:rFonts w:ascii="Times New Roman" w:eastAsia="Times New Roman" w:hAnsi="Times New Roman" w:cs="Times New Roman"/>
                <w:b/>
                <w:bCs/>
              </w:rPr>
            </w:pPr>
            <w:bookmarkStart w:id="0" w:name="_Hlk116817560"/>
            <w:proofErr w:type="spellStart"/>
            <w:r w:rsidRPr="00A62440">
              <w:rPr>
                <w:rFonts w:ascii="Times New Roman" w:eastAsia="Times New Roman" w:hAnsi="Times New Roman" w:cs="Times New Roman"/>
                <w:b/>
                <w:bCs/>
              </w:rPr>
              <w:t>Công</w:t>
            </w:r>
            <w:proofErr w:type="spellEnd"/>
            <w:r w:rsidRPr="00A62440">
              <w:rPr>
                <w:rFonts w:ascii="Times New Roman" w:eastAsia="Times New Roman" w:hAnsi="Times New Roman" w:cs="Times New Roman"/>
                <w:b/>
                <w:bCs/>
              </w:rPr>
              <w:t xml:space="preserve"> ty TNHH </w:t>
            </w:r>
            <w:proofErr w:type="spellStart"/>
            <w:r w:rsidRPr="00A62440">
              <w:rPr>
                <w:rFonts w:ascii="Times New Roman" w:eastAsia="Times New Roman" w:hAnsi="Times New Roman" w:cs="Times New Roman"/>
                <w:b/>
                <w:bCs/>
              </w:rPr>
              <w:t>Quản</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lý</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Quỹ</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Eastspring</w:t>
            </w:r>
            <w:proofErr w:type="spellEnd"/>
            <w:r w:rsidRPr="00A62440">
              <w:rPr>
                <w:rFonts w:ascii="Times New Roman" w:eastAsia="Times New Roman" w:hAnsi="Times New Roman" w:cs="Times New Roman"/>
                <w:b/>
                <w:bCs/>
              </w:rPr>
              <w:t xml:space="preserve"> Investments</w:t>
            </w:r>
          </w:p>
          <w:p w14:paraId="2B7655B3" w14:textId="7FDB27D0" w:rsidR="00BB2442" w:rsidRPr="00A62440" w:rsidRDefault="009104CD" w:rsidP="00A62440">
            <w:pPr>
              <w:spacing w:after="0" w:line="240" w:lineRule="auto"/>
              <w:rPr>
                <w:rFonts w:ascii="Times New Roman" w:eastAsia="Times New Roman" w:hAnsi="Times New Roman" w:cs="Times New Roman"/>
                <w:b/>
                <w:bCs/>
                <w:lang w:eastAsia="en-GB"/>
              </w:rPr>
            </w:pPr>
            <w:proofErr w:type="spellStart"/>
            <w:r w:rsidRPr="009104CD">
              <w:rPr>
                <w:rFonts w:ascii="Times New Roman" w:eastAsia="Times New Roman" w:hAnsi="Times New Roman" w:cs="Times New Roman"/>
                <w:b/>
                <w:bCs/>
              </w:rPr>
              <w:t>Quỹ</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đầu</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tư</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cổ</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phiếu</w:t>
            </w:r>
            <w:proofErr w:type="spellEnd"/>
            <w:r w:rsidRPr="009104CD">
              <w:rPr>
                <w:rFonts w:ascii="Times New Roman" w:eastAsia="Times New Roman" w:hAnsi="Times New Roman" w:cs="Times New Roman"/>
                <w:b/>
                <w:bCs/>
              </w:rPr>
              <w:t xml:space="preserve"> ESG </w:t>
            </w:r>
            <w:proofErr w:type="spellStart"/>
            <w:r w:rsidRPr="009104CD">
              <w:rPr>
                <w:rFonts w:ascii="Times New Roman" w:eastAsia="Times New Roman" w:hAnsi="Times New Roman" w:cs="Times New Roman"/>
                <w:b/>
                <w:bCs/>
              </w:rPr>
              <w:t>Eastspring</w:t>
            </w:r>
            <w:proofErr w:type="spellEnd"/>
            <w:r w:rsidRPr="009104CD">
              <w:rPr>
                <w:rFonts w:ascii="Times New Roman" w:eastAsia="Times New Roman" w:hAnsi="Times New Roman" w:cs="Times New Roman"/>
                <w:b/>
                <w:bCs/>
              </w:rPr>
              <w:t xml:space="preserve"> Investments </w:t>
            </w:r>
            <w:proofErr w:type="spellStart"/>
            <w:r w:rsidRPr="009104CD">
              <w:rPr>
                <w:rFonts w:ascii="Times New Roman" w:eastAsia="Times New Roman" w:hAnsi="Times New Roman" w:cs="Times New Roman"/>
                <w:b/>
                <w:bCs/>
              </w:rPr>
              <w:t>Việt</w:t>
            </w:r>
            <w:proofErr w:type="spellEnd"/>
            <w:r w:rsidRPr="009104CD">
              <w:rPr>
                <w:rFonts w:ascii="Times New Roman" w:eastAsia="Times New Roman" w:hAnsi="Times New Roman" w:cs="Times New Roman"/>
                <w:b/>
                <w:bCs/>
              </w:rPr>
              <w:t xml:space="preserve"> Nam (EVESG)</w:t>
            </w:r>
          </w:p>
        </w:tc>
        <w:tc>
          <w:tcPr>
            <w:tcW w:w="3960" w:type="dxa"/>
          </w:tcPr>
          <w:p w14:paraId="75C28DA3" w14:textId="77777777" w:rsidR="00634F9D" w:rsidRPr="00A62440" w:rsidRDefault="006735BD" w:rsidP="00A62440">
            <w:pPr>
              <w:spacing w:after="0" w:line="240" w:lineRule="auto"/>
              <w:jc w:val="right"/>
              <w:rPr>
                <w:rFonts w:ascii="Times New Roman" w:eastAsia="Times New Roman" w:hAnsi="Times New Roman" w:cs="Times New Roman"/>
                <w:b/>
                <w:bCs/>
                <w:i/>
                <w:lang w:eastAsia="en-GB"/>
              </w:rPr>
            </w:pPr>
            <w:proofErr w:type="spellStart"/>
            <w:r w:rsidRPr="00A62440">
              <w:rPr>
                <w:rFonts w:ascii="Times New Roman" w:eastAsia="Times New Roman" w:hAnsi="Times New Roman" w:cs="Times New Roman"/>
                <w:b/>
                <w:bCs/>
                <w:i/>
                <w:lang w:eastAsia="en-GB"/>
              </w:rPr>
              <w:t>Mẫu</w:t>
            </w:r>
            <w:proofErr w:type="spellEnd"/>
            <w:r w:rsidRPr="00A62440">
              <w:rPr>
                <w:rFonts w:ascii="Times New Roman" w:eastAsia="Times New Roman" w:hAnsi="Times New Roman" w:cs="Times New Roman"/>
                <w:b/>
                <w:bCs/>
                <w:i/>
                <w:lang w:eastAsia="en-GB"/>
              </w:rPr>
              <w:t xml:space="preserve"> </w:t>
            </w:r>
            <w:proofErr w:type="spellStart"/>
            <w:r w:rsidRPr="00A62440">
              <w:rPr>
                <w:rFonts w:ascii="Times New Roman" w:eastAsia="Times New Roman" w:hAnsi="Times New Roman" w:cs="Times New Roman"/>
                <w:b/>
                <w:bCs/>
                <w:i/>
                <w:lang w:eastAsia="en-GB"/>
              </w:rPr>
              <w:t>số</w:t>
            </w:r>
            <w:proofErr w:type="spellEnd"/>
            <w:r w:rsidRPr="00A62440">
              <w:rPr>
                <w:rFonts w:ascii="Times New Roman" w:eastAsia="Times New Roman" w:hAnsi="Times New Roman" w:cs="Times New Roman"/>
                <w:b/>
                <w:bCs/>
                <w:i/>
                <w:lang w:eastAsia="en-GB"/>
              </w:rPr>
              <w:t xml:space="preserve"> B06g-QM</w:t>
            </w:r>
          </w:p>
          <w:p w14:paraId="43C0AFB5" w14:textId="77777777" w:rsidR="00BB2442" w:rsidRPr="00A62440" w:rsidRDefault="00BB2442" w:rsidP="00A62440">
            <w:pPr>
              <w:spacing w:after="0" w:line="240" w:lineRule="auto"/>
              <w:jc w:val="right"/>
              <w:rPr>
                <w:rFonts w:ascii="Times New Roman" w:eastAsia="Times New Roman" w:hAnsi="Times New Roman" w:cs="Times New Roman"/>
                <w:b/>
                <w:bCs/>
                <w:i/>
                <w:lang w:eastAsia="en-GB"/>
              </w:rPr>
            </w:pPr>
            <w:r w:rsidRPr="00A62440">
              <w:rPr>
                <w:rFonts w:ascii="Times New Roman" w:eastAsia="Times New Roman" w:hAnsi="Times New Roman" w:cs="Times New Roman"/>
                <w:bCs/>
                <w:i/>
                <w:lang w:eastAsia="en-GB"/>
              </w:rPr>
              <w:t xml:space="preserve">(Ban </w:t>
            </w:r>
            <w:proofErr w:type="spellStart"/>
            <w:r w:rsidRPr="00A62440">
              <w:rPr>
                <w:rFonts w:ascii="Times New Roman" w:eastAsia="Times New Roman" w:hAnsi="Times New Roman" w:cs="Times New Roman"/>
                <w:bCs/>
                <w:i/>
                <w:lang w:eastAsia="en-GB"/>
              </w:rPr>
              <w:t>hành</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theo</w:t>
            </w:r>
            <w:proofErr w:type="spellEnd"/>
            <w:r w:rsidRPr="00A62440">
              <w:rPr>
                <w:rFonts w:ascii="Times New Roman" w:eastAsia="Times New Roman" w:hAnsi="Times New Roman" w:cs="Times New Roman"/>
                <w:bCs/>
                <w:i/>
                <w:lang w:eastAsia="en-GB"/>
              </w:rPr>
              <w:t xml:space="preserve"> TT </w:t>
            </w:r>
            <w:proofErr w:type="spellStart"/>
            <w:r w:rsidRPr="00A62440">
              <w:rPr>
                <w:rFonts w:ascii="Times New Roman" w:eastAsia="Times New Roman" w:hAnsi="Times New Roman" w:cs="Times New Roman"/>
                <w:bCs/>
                <w:i/>
                <w:lang w:eastAsia="en-GB"/>
              </w:rPr>
              <w:t>số</w:t>
            </w:r>
            <w:proofErr w:type="spellEnd"/>
            <w:r w:rsidRPr="00A62440">
              <w:rPr>
                <w:rFonts w:ascii="Times New Roman" w:eastAsia="Times New Roman" w:hAnsi="Times New Roman" w:cs="Times New Roman"/>
                <w:bCs/>
                <w:i/>
                <w:lang w:eastAsia="en-GB"/>
              </w:rPr>
              <w:t xml:space="preserve"> 198/2012/TT-BTC </w:t>
            </w:r>
            <w:proofErr w:type="spellStart"/>
            <w:r w:rsidRPr="00A62440">
              <w:rPr>
                <w:rFonts w:ascii="Times New Roman" w:eastAsia="Times New Roman" w:hAnsi="Times New Roman" w:cs="Times New Roman"/>
                <w:bCs/>
                <w:i/>
                <w:lang w:eastAsia="en-GB"/>
              </w:rPr>
              <w:t>ngày</w:t>
            </w:r>
            <w:proofErr w:type="spellEnd"/>
            <w:r w:rsidRPr="00A62440">
              <w:rPr>
                <w:rFonts w:ascii="Times New Roman" w:eastAsia="Times New Roman" w:hAnsi="Times New Roman" w:cs="Times New Roman"/>
                <w:bCs/>
                <w:i/>
                <w:lang w:eastAsia="en-GB"/>
              </w:rPr>
              <w:t xml:space="preserve"> 15/11/2012 </w:t>
            </w:r>
            <w:proofErr w:type="spellStart"/>
            <w:r w:rsidRPr="00A62440">
              <w:rPr>
                <w:rFonts w:ascii="Times New Roman" w:eastAsia="Times New Roman" w:hAnsi="Times New Roman" w:cs="Times New Roman"/>
                <w:bCs/>
                <w:i/>
                <w:lang w:eastAsia="en-GB"/>
              </w:rPr>
              <w:t>của</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Bộ</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Tài</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Chính</w:t>
            </w:r>
            <w:proofErr w:type="spellEnd"/>
            <w:r w:rsidRPr="00A62440">
              <w:rPr>
                <w:rFonts w:ascii="Times New Roman" w:eastAsia="Times New Roman" w:hAnsi="Times New Roman" w:cs="Times New Roman"/>
                <w:bCs/>
                <w:i/>
                <w:lang w:eastAsia="en-GB"/>
              </w:rPr>
              <w:t>)</w:t>
            </w:r>
          </w:p>
        </w:tc>
      </w:tr>
    </w:tbl>
    <w:p w14:paraId="6DE76032"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606256B9"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37A5DB16" w14:textId="77777777" w:rsidR="00B7391D" w:rsidRPr="00CC55FD" w:rsidRDefault="00B7391D" w:rsidP="00A62440">
      <w:pPr>
        <w:spacing w:after="0" w:line="240" w:lineRule="auto"/>
        <w:jc w:val="center"/>
        <w:rPr>
          <w:rFonts w:ascii="Times New Roman" w:eastAsia="Times New Roman" w:hAnsi="Times New Roman" w:cs="Times New Roman"/>
          <w:b/>
          <w:bCs/>
          <w:color w:val="000000"/>
        </w:rPr>
      </w:pPr>
    </w:p>
    <w:p w14:paraId="70D2B9B3" w14:textId="77777777" w:rsidR="0021456D" w:rsidRPr="007A39A5" w:rsidRDefault="006735BD" w:rsidP="00A62440">
      <w:pPr>
        <w:spacing w:after="0" w:line="240" w:lineRule="auto"/>
        <w:jc w:val="center"/>
        <w:rPr>
          <w:rFonts w:ascii="Times New Roman" w:eastAsia="Times New Roman" w:hAnsi="Times New Roman" w:cs="Times New Roman"/>
          <w:b/>
          <w:bCs/>
        </w:rPr>
      </w:pPr>
      <w:r w:rsidRPr="00A62440">
        <w:rPr>
          <w:rFonts w:ascii="Times New Roman" w:eastAsia="Times New Roman" w:hAnsi="Times New Roman" w:cs="Times New Roman"/>
          <w:b/>
          <w:bCs/>
        </w:rPr>
        <w:t xml:space="preserve">THUYẾT </w:t>
      </w:r>
      <w:r w:rsidRPr="007A39A5">
        <w:rPr>
          <w:rFonts w:ascii="Times New Roman" w:eastAsia="Times New Roman" w:hAnsi="Times New Roman" w:cs="Times New Roman"/>
          <w:b/>
          <w:bCs/>
        </w:rPr>
        <w:t>MINH</w:t>
      </w:r>
      <w:r w:rsidR="00B924B0" w:rsidRPr="007A39A5">
        <w:rPr>
          <w:rFonts w:ascii="Times New Roman" w:eastAsia="Times New Roman" w:hAnsi="Times New Roman" w:cs="Times New Roman"/>
          <w:b/>
          <w:bCs/>
        </w:rPr>
        <w:t xml:space="preserve"> BÁO CÁO</w:t>
      </w:r>
      <w:r w:rsidRPr="007A39A5">
        <w:rPr>
          <w:rFonts w:ascii="Times New Roman" w:eastAsia="Times New Roman" w:hAnsi="Times New Roman" w:cs="Times New Roman"/>
          <w:b/>
          <w:bCs/>
        </w:rPr>
        <w:t xml:space="preserve"> TÀI CHÍNH</w:t>
      </w:r>
    </w:p>
    <w:p w14:paraId="5F2AF8A5" w14:textId="10A048A6" w:rsidR="0021456D" w:rsidRPr="007A39A5" w:rsidRDefault="0012677B" w:rsidP="00A62440">
      <w:pPr>
        <w:spacing w:after="0" w:line="240" w:lineRule="auto"/>
        <w:jc w:val="center"/>
        <w:rPr>
          <w:rFonts w:ascii="Times New Roman" w:eastAsia="Times New Roman" w:hAnsi="Times New Roman" w:cs="Times New Roman"/>
          <w:b/>
          <w:bCs/>
        </w:rPr>
      </w:pPr>
      <w:proofErr w:type="spellStart"/>
      <w:r w:rsidRPr="007A39A5">
        <w:rPr>
          <w:rFonts w:ascii="Times New Roman" w:eastAsia="Times New Roman" w:hAnsi="Times New Roman" w:cs="Times New Roman"/>
          <w:b/>
          <w:bCs/>
        </w:rPr>
        <w:t>Quý</w:t>
      </w:r>
      <w:proofErr w:type="spellEnd"/>
      <w:r w:rsidRPr="007A39A5">
        <w:rPr>
          <w:rFonts w:ascii="Times New Roman" w:eastAsia="Times New Roman" w:hAnsi="Times New Roman" w:cs="Times New Roman"/>
          <w:b/>
          <w:bCs/>
        </w:rPr>
        <w:t xml:space="preserve"> </w:t>
      </w:r>
      <w:r w:rsidR="00C60A4A">
        <w:rPr>
          <w:rFonts w:ascii="Times New Roman" w:eastAsia="Times New Roman" w:hAnsi="Times New Roman" w:cs="Times New Roman"/>
          <w:b/>
          <w:bCs/>
        </w:rPr>
        <w:t>I</w:t>
      </w:r>
      <w:r w:rsidR="00A8301F" w:rsidRPr="007A39A5">
        <w:rPr>
          <w:rFonts w:ascii="Times New Roman" w:eastAsia="Times New Roman" w:hAnsi="Times New Roman" w:cs="Times New Roman"/>
          <w:b/>
          <w:bCs/>
        </w:rPr>
        <w:t xml:space="preserve"> </w:t>
      </w:r>
      <w:proofErr w:type="spellStart"/>
      <w:r w:rsidR="00A8301F" w:rsidRPr="007A39A5">
        <w:rPr>
          <w:rFonts w:ascii="Times New Roman" w:eastAsia="Times New Roman" w:hAnsi="Times New Roman" w:cs="Times New Roman"/>
          <w:b/>
          <w:bCs/>
        </w:rPr>
        <w:t>năm</w:t>
      </w:r>
      <w:proofErr w:type="spellEnd"/>
      <w:r w:rsidR="00A8301F" w:rsidRPr="007A39A5">
        <w:rPr>
          <w:rFonts w:ascii="Times New Roman" w:eastAsia="Times New Roman" w:hAnsi="Times New Roman" w:cs="Times New Roman"/>
          <w:b/>
          <w:bCs/>
        </w:rPr>
        <w:t xml:space="preserve"> </w:t>
      </w:r>
      <w:r w:rsidR="00EF3C04" w:rsidRPr="007A39A5">
        <w:rPr>
          <w:rFonts w:ascii="Times New Roman" w:eastAsia="Times New Roman" w:hAnsi="Times New Roman" w:cs="Times New Roman"/>
          <w:b/>
          <w:bCs/>
        </w:rPr>
        <w:t>202</w:t>
      </w:r>
      <w:r w:rsidR="000E50E5">
        <w:rPr>
          <w:rFonts w:ascii="Times New Roman" w:eastAsia="Times New Roman" w:hAnsi="Times New Roman" w:cs="Times New Roman"/>
          <w:b/>
          <w:bCs/>
        </w:rPr>
        <w:t>5</w:t>
      </w:r>
    </w:p>
    <w:p w14:paraId="0E91AC15" w14:textId="77777777" w:rsidR="0021456D" w:rsidRPr="007A39A5" w:rsidRDefault="0021456D" w:rsidP="00A62440">
      <w:pPr>
        <w:spacing w:after="0" w:line="240" w:lineRule="auto"/>
        <w:jc w:val="center"/>
        <w:rPr>
          <w:rFonts w:ascii="Times New Roman" w:eastAsia="Times New Roman" w:hAnsi="Times New Roman" w:cs="Times New Roman"/>
          <w:b/>
          <w:bCs/>
        </w:rPr>
      </w:pPr>
    </w:p>
    <w:p w14:paraId="21964693"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 Đặc điểm hoạt động của Quỹ mở</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1D1E43A1" w14:textId="502FAA55"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1.1. Giấy chứng nhận chào bán: </w:t>
      </w:r>
      <w:r w:rsidR="009104CD" w:rsidRPr="009104CD">
        <w:rPr>
          <w:rFonts w:ascii="Times New Roman" w:eastAsia="Times New Roman" w:hAnsi="Times New Roman" w:cs="Times New Roman"/>
          <w:bCs/>
          <w:lang w:val="vi-VN"/>
        </w:rPr>
        <w:t>Quỹ đầu tư cổ phiếu ESG Eastspring Investments Việt Nam (EVESG)</w:t>
      </w:r>
      <w:r w:rsidR="009104CD">
        <w:rPr>
          <w:rFonts w:ascii="Times New Roman" w:eastAsia="Times New Roman" w:hAnsi="Times New Roman" w:cs="Times New Roman"/>
          <w:bCs/>
          <w:lang w:val="vi-VN"/>
        </w:rPr>
        <w:t xml:space="preserve"> </w:t>
      </w:r>
      <w:r w:rsidRPr="007A39A5">
        <w:rPr>
          <w:rFonts w:ascii="Times New Roman" w:eastAsia="Times New Roman" w:hAnsi="Times New Roman" w:cs="Times New Roman"/>
          <w:bCs/>
          <w:lang w:val="vi-VN"/>
        </w:rPr>
        <w:t xml:space="preserve">được Ủy Ban Chứng Khoán nhà nước cấp giấy chứng nhận đăng ký chào bán số </w:t>
      </w:r>
      <w:r w:rsidR="009104CD">
        <w:rPr>
          <w:rFonts w:ascii="Times New Roman" w:eastAsia="Times New Roman" w:hAnsi="Times New Roman" w:cs="Times New Roman"/>
          <w:bCs/>
          <w:lang w:val="vi-VN"/>
        </w:rPr>
        <w:t>117</w:t>
      </w:r>
      <w:r w:rsidRPr="007A39A5">
        <w:rPr>
          <w:rFonts w:ascii="Times New Roman" w:eastAsia="Times New Roman" w:hAnsi="Times New Roman" w:cs="Times New Roman"/>
          <w:bCs/>
          <w:lang w:val="vi-VN"/>
        </w:rPr>
        <w:t xml:space="preserve">/GCN-UBCK ngày </w:t>
      </w:r>
      <w:r w:rsidR="009104CD">
        <w:rPr>
          <w:rFonts w:ascii="Times New Roman" w:eastAsia="Times New Roman" w:hAnsi="Times New Roman" w:cs="Times New Roman"/>
          <w:bCs/>
          <w:lang w:val="vi-VN"/>
        </w:rPr>
        <w:t>31</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07</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2024</w:t>
      </w:r>
      <w:r w:rsidRPr="007A39A5">
        <w:rPr>
          <w:rFonts w:ascii="Times New Roman" w:eastAsia="Times New Roman" w:hAnsi="Times New Roman" w:cs="Times New Roman"/>
          <w:bCs/>
          <w:lang w:val="vi-VN"/>
        </w:rPr>
        <w:t>.</w:t>
      </w:r>
      <w:r w:rsidRPr="007A39A5">
        <w:rPr>
          <w:rFonts w:ascii="Times New Roman" w:eastAsia="Times New Roman" w:hAnsi="Times New Roman" w:cs="Times New Roman"/>
          <w:bCs/>
          <w:lang w:val="vi-VN"/>
        </w:rPr>
        <w:tab/>
      </w:r>
    </w:p>
    <w:p w14:paraId="2D15433E" w14:textId="0957AE85" w:rsidR="008205F7" w:rsidRPr="007A39A5" w:rsidRDefault="0051425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1.2. Giấy chứng nhận thành lập Quỹ mở: </w:t>
      </w:r>
      <w:r w:rsidR="009104CD" w:rsidRPr="009104CD">
        <w:rPr>
          <w:rFonts w:ascii="Times New Roman" w:eastAsia="Times New Roman" w:hAnsi="Times New Roman" w:cs="Times New Roman"/>
          <w:bCs/>
          <w:lang w:val="vi-VN"/>
        </w:rPr>
        <w:t>Quỹ đầu tư cổ phiếu ESG Eastspring Investments Việt Nam (EVESG)</w:t>
      </w:r>
      <w:r w:rsidR="009104CD">
        <w:rPr>
          <w:rFonts w:ascii="Times New Roman" w:eastAsia="Times New Roman" w:hAnsi="Times New Roman" w:cs="Times New Roman"/>
          <w:bCs/>
          <w:lang w:val="vi-VN"/>
        </w:rPr>
        <w:t xml:space="preserve"> </w:t>
      </w:r>
      <w:r w:rsidRPr="007A39A5">
        <w:rPr>
          <w:rFonts w:ascii="Times New Roman" w:eastAsia="Times New Roman" w:hAnsi="Times New Roman" w:cs="Times New Roman"/>
          <w:bCs/>
          <w:lang w:val="vi-VN"/>
        </w:rPr>
        <w:t xml:space="preserve">được Ủy Ban Chứng Khoán nhà nước cấp giấy chứng nhận đăng ký lập quỹ đại chúng vào ngày </w:t>
      </w:r>
      <w:r w:rsidR="009104CD">
        <w:rPr>
          <w:rFonts w:ascii="Times New Roman" w:eastAsia="Times New Roman" w:hAnsi="Times New Roman" w:cs="Times New Roman"/>
          <w:bCs/>
          <w:lang w:val="vi-VN"/>
        </w:rPr>
        <w:t>13</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11</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202</w:t>
      </w:r>
      <w:r w:rsidRPr="007A39A5">
        <w:rPr>
          <w:rFonts w:ascii="Times New Roman" w:eastAsia="Times New Roman" w:hAnsi="Times New Roman" w:cs="Times New Roman"/>
          <w:bCs/>
          <w:lang w:val="vi-VN"/>
        </w:rPr>
        <w:t xml:space="preserve">4 theo giấy chứng nhận số </w:t>
      </w:r>
      <w:r w:rsidR="009104CD">
        <w:rPr>
          <w:rFonts w:ascii="Times New Roman" w:eastAsia="Times New Roman" w:hAnsi="Times New Roman" w:cs="Times New Roman"/>
          <w:bCs/>
          <w:lang w:val="vi-VN"/>
        </w:rPr>
        <w:t>187</w:t>
      </w:r>
      <w:r w:rsidRPr="007A39A5">
        <w:rPr>
          <w:rFonts w:ascii="Times New Roman" w:eastAsia="Times New Roman" w:hAnsi="Times New Roman" w:cs="Times New Roman"/>
          <w:bCs/>
          <w:lang w:val="vi-VN"/>
        </w:rPr>
        <w:t>/GCN-UBCK.</w:t>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p>
    <w:p w14:paraId="23C16D81"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1.3. Địa chỉ liên hệ: Tầng 23, Tòa nhà Saigon Trade Center, 37 Tôn Đức Thắng, Phường Bến Nghé, Quận 1, Thành phố Hồ Chí Minh</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4E92A862" w14:textId="6DAAA29A"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1.4. Điều lệ hoạt động Quỹ mở ban hành ngày </w:t>
      </w:r>
      <w:r w:rsidR="007C551B">
        <w:rPr>
          <w:rFonts w:ascii="Times New Roman" w:eastAsia="Times New Roman" w:hAnsi="Times New Roman" w:cs="Times New Roman"/>
          <w:bCs/>
          <w:lang w:val="vi-VN"/>
        </w:rPr>
        <w:t>31</w:t>
      </w:r>
      <w:r w:rsidRPr="007A39A5">
        <w:rPr>
          <w:rFonts w:ascii="Times New Roman" w:eastAsia="Times New Roman" w:hAnsi="Times New Roman" w:cs="Times New Roman"/>
          <w:bCs/>
          <w:lang w:val="vi-VN"/>
        </w:rPr>
        <w:t xml:space="preserve"> tháng </w:t>
      </w:r>
      <w:r w:rsidR="00717F30">
        <w:rPr>
          <w:rFonts w:ascii="Times New Roman" w:eastAsia="Times New Roman" w:hAnsi="Times New Roman" w:cs="Times New Roman"/>
          <w:bCs/>
          <w:lang w:val="vi-VN"/>
        </w:rPr>
        <w:t>7</w:t>
      </w:r>
      <w:r w:rsidRPr="007A39A5">
        <w:rPr>
          <w:rFonts w:ascii="Times New Roman" w:eastAsia="Times New Roman" w:hAnsi="Times New Roman" w:cs="Times New Roman"/>
          <w:bCs/>
          <w:lang w:val="vi-VN"/>
        </w:rPr>
        <w:t xml:space="preserve"> năm </w:t>
      </w:r>
      <w:r w:rsidR="00717F30">
        <w:rPr>
          <w:rFonts w:ascii="Times New Roman" w:eastAsia="Times New Roman" w:hAnsi="Times New Roman" w:cs="Times New Roman"/>
          <w:bCs/>
          <w:lang w:val="vi-VN"/>
        </w:rPr>
        <w:t>2024</w:t>
      </w:r>
    </w:p>
    <w:p w14:paraId="6B528C1E" w14:textId="77777777"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1.5. Những đặc điểm chính về hoạt động Quỹ mở.</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8D656E7" w14:textId="462CD4BF"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 xml:space="preserve">Quy mô vốn Quỹ mở: Vốn điều lệ của quỹ (vốn huy động được trong đợt phát hành chứng chỉ quỹ lần đầu ra công chúng) là </w:t>
      </w:r>
      <w:r w:rsidR="007C551B">
        <w:rPr>
          <w:rFonts w:ascii="Times New Roman" w:eastAsia="Times New Roman" w:hAnsi="Times New Roman" w:cs="Times New Roman"/>
          <w:bCs/>
          <w:lang w:val="vi-VN"/>
        </w:rPr>
        <w:t>461.341.686.000</w:t>
      </w:r>
      <w:r w:rsidR="00514257" w:rsidRPr="00A62440">
        <w:rPr>
          <w:rFonts w:ascii="Times New Roman" w:eastAsia="Times New Roman" w:hAnsi="Times New Roman" w:cs="Times New Roman"/>
          <w:bCs/>
          <w:lang w:val="vi-VN"/>
        </w:rPr>
        <w:t xml:space="preserve"> đồng Việt Nam. Vốn điều lệ quỹ do các nhà đầu tư đóng góp bằng đồng Việt Nam. Mệnh giá của một đơn vị quỹ là 10.000 đồng Việt Nam.</w:t>
      </w:r>
      <w:r w:rsidRPr="00A62440">
        <w:rPr>
          <w:rFonts w:ascii="Times New Roman" w:eastAsia="Times New Roman" w:hAnsi="Times New Roman" w:cs="Times New Roman"/>
          <w:bCs/>
          <w:lang w:val="vi-VN"/>
        </w:rPr>
        <w:tab/>
      </w:r>
    </w:p>
    <w:p w14:paraId="31D0CD6F" w14:textId="7841CA8E"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 xml:space="preserve">Mục tiêu đầu tư của Quỹ </w:t>
      </w:r>
      <w:r w:rsidR="007C551B">
        <w:rPr>
          <w:rFonts w:ascii="Times New Roman" w:eastAsia="Times New Roman" w:hAnsi="Times New Roman" w:cs="Times New Roman"/>
          <w:bCs/>
          <w:lang w:val="vi-VN"/>
        </w:rPr>
        <w:t>EVESG</w:t>
      </w:r>
      <w:r w:rsidR="00514257" w:rsidRPr="00A62440">
        <w:rPr>
          <w:rFonts w:ascii="Times New Roman" w:eastAsia="Times New Roman" w:hAnsi="Times New Roman" w:cs="Times New Roman"/>
          <w:bCs/>
          <w:lang w:val="vi-VN"/>
        </w:rPr>
        <w:t xml:space="preserve"> là </w:t>
      </w:r>
      <w:r w:rsidR="007C551B">
        <w:rPr>
          <w:rFonts w:ascii="Times New Roman" w:eastAsia="Times New Roman" w:hAnsi="Times New Roman" w:cs="Times New Roman"/>
          <w:bCs/>
          <w:lang w:val="vi-VN"/>
        </w:rPr>
        <w:t>mang lại lợi nhuận tối ưu cho Nhà Đầu tư trong dài hạn thông</w:t>
      </w:r>
      <w:r w:rsidR="004B676D">
        <w:rPr>
          <w:rFonts w:ascii="Times New Roman" w:eastAsia="Times New Roman" w:hAnsi="Times New Roman" w:cs="Times New Roman"/>
          <w:bCs/>
          <w:lang w:val="vi-VN"/>
        </w:rPr>
        <w:t xml:space="preserve"> </w:t>
      </w:r>
      <w:r w:rsidR="004B676D" w:rsidRPr="004B676D">
        <w:rPr>
          <w:rFonts w:ascii="Times New Roman" w:eastAsia="Times New Roman" w:hAnsi="Times New Roman" w:cs="Times New Roman"/>
          <w:bCs/>
          <w:lang w:val="vi-VN"/>
        </w:rPr>
        <w:t>qua một danh mục đầu tư đa dạng vào các công ty có triển vọng tăng trưởng bền vững với mô hình kinh doanh phù hợp và có nỗ lực cải thiện các vấn đề liên quan đến Môi trường, Xã hội và Quản trị doanh nghiệp (Environmental – Social – Governance; viết tắt là ESG).</w:t>
      </w:r>
      <w:r w:rsidR="004B676D">
        <w:rPr>
          <w:rFonts w:ascii="Times New Roman" w:eastAsia="Times New Roman" w:hAnsi="Times New Roman" w:cs="Times New Roman"/>
          <w:bCs/>
          <w:lang w:val="vi-VN"/>
        </w:rPr>
        <w:t xml:space="preserve"> </w:t>
      </w:r>
      <w:r w:rsidR="004B676D" w:rsidRPr="004B676D">
        <w:rPr>
          <w:rFonts w:ascii="Times New Roman" w:eastAsia="Times New Roman" w:hAnsi="Times New Roman" w:cs="Times New Roman"/>
          <w:bCs/>
          <w:lang w:val="vi-VN"/>
        </w:rPr>
        <w:t>Mỗi công ty trong danh mục đầu tư sẽ được đánh giá thẻ điểm ESG theo quy trình đầu tư của Công Ty Quản Lý Quỹ. Quy trình đánh giá thẻ điểm ESG được thể hiện chi tiết tại Bản Cáo Bạch.</w:t>
      </w:r>
    </w:p>
    <w:p w14:paraId="3265FC48" w14:textId="0F4A6517"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Kỳ tính giá trị tài sản ròng: Quỹ được xác định hai lần mỗi tuần và hàng tháng. Đối với kỳ định giá hàng tuần, ngày định giá là ngày thứ Tư và ngày thứ Sáu. Đối với kỳ định giá hàng tháng, ngày định giá là ngày đầu tiên của tháng tiếp theo. Trong trường hợp ngày giao dịch chứng chỉ Quỹ là ngày nghỉ lễ thì việc xác định giá trị tài sản ròng của Quỹ vẫn được đảm bảo thực hiện tối thiểu một lần trong một tuần theo thông báo tại từng thởi điểm.</w:t>
      </w:r>
    </w:p>
    <w:p w14:paraId="0D8C31A6" w14:textId="55407C3A"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Tần suất giao dịch chứng chỉ Quỹ mở: Quỹ thực hiện giao dịch chứng chỉ Quỹ hai lần mỗi tuần vào ngày thứ Tư và ngày thứ Sáu hàng tuần. Trong trường hợp Ngày Giao dịch là ngày lễ thì Quỹ sẽ không thực hiện giao dịch trong kỳ đó.</w:t>
      </w:r>
    </w:p>
    <w:p w14:paraId="56595876" w14:textId="0F049603" w:rsidR="008205F7" w:rsidRPr="00A62440" w:rsidRDefault="008205F7"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 xml:space="preserve">- </w:t>
      </w:r>
      <w:r w:rsidR="00514257" w:rsidRPr="00A62440">
        <w:rPr>
          <w:rFonts w:ascii="Times New Roman" w:eastAsia="Times New Roman" w:hAnsi="Times New Roman" w:cs="Times New Roman"/>
          <w:b/>
          <w:lang w:val="vi-VN"/>
        </w:rPr>
        <w:t xml:space="preserve">Hạn chế đầu tư của Quỹ mở: Quỹ đầu tư </w:t>
      </w:r>
      <w:r w:rsidR="00DD4A67">
        <w:rPr>
          <w:rFonts w:ascii="Times New Roman" w:eastAsia="Times New Roman" w:hAnsi="Times New Roman" w:cs="Times New Roman"/>
          <w:b/>
          <w:lang w:val="vi-VN"/>
        </w:rPr>
        <w:t>EVESG</w:t>
      </w:r>
      <w:r w:rsidR="00514257" w:rsidRPr="00A62440">
        <w:rPr>
          <w:rFonts w:ascii="Times New Roman" w:eastAsia="Times New Roman" w:hAnsi="Times New Roman" w:cs="Times New Roman"/>
          <w:b/>
          <w:lang w:val="vi-VN"/>
        </w:rPr>
        <w:t xml:space="preserve"> sẽ tuân theo các hạn chế đầu tư sau đây:</w:t>
      </w:r>
    </w:p>
    <w:p w14:paraId="1941B64A" w14:textId="06760DB3"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
          <w:lang w:val="vi-VN"/>
        </w:rPr>
        <w:t xml:space="preserve">A/ Vốn và tài sản của Quỹ khi được đầu tư phải tuân thủ theo các quy định sau: </w:t>
      </w:r>
    </w:p>
    <w:p w14:paraId="6B25480A" w14:textId="70A2338C"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Trừ tiền gửi trên tài khoản thanh toán của Quỹ tại Ngân hàng Giám sát, Quỹ không được đầu tư quá 49% tổng giá trị tài sản của Quỹ vào tiền gửi tại các ngân hàng thương mại theo quy định của pháp luật ngân hàng và công cụ thị trường tiền tệ bao gồm giấy tờ có giá, công cụ chuyển nhượng theo quy định của pháp luật liên quan;</w:t>
      </w:r>
      <w:r w:rsidR="008205F7" w:rsidRPr="00A62440">
        <w:rPr>
          <w:rFonts w:ascii="Times New Roman" w:eastAsia="Times New Roman" w:hAnsi="Times New Roman" w:cs="Times New Roman"/>
          <w:bCs/>
          <w:lang w:val="vi-VN"/>
        </w:rPr>
        <w:tab/>
      </w:r>
    </w:p>
    <w:p w14:paraId="1B34823D" w14:textId="3DFB9E46"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Không được đầu tư vào chứng khoán của một tổ chức phát hành quá 10% tổng giá trị chứng khoán đang lưu hành của tổ chức đó;</w:t>
      </w:r>
    </w:p>
    <w:p w14:paraId="4CF3B12B" w14:textId="63D0189F"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Quỹ không được đầu tư quá 20% tổng giá trị tài sản của Quỹ vào chứng khoán đang lưu hành, tiền gửi tại các ngân hàng thương mại theo quy định của pháp luật ngân hàng và công cụ thị trường tiền tệ bao gồm giấy tờ có giá, công cụ chuyển nhượng theo quy định của pháp luật liên quan của một tổ chức phát hành, trừ công cụ nợ của Chính phủ;</w:t>
      </w:r>
    </w:p>
    <w:p w14:paraId="1E83745D" w14:textId="3FD834F4"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lastRenderedPageBreak/>
        <w:t>d) Quỹ không được đầu tư quá 30% tổng giá trị tài sản của Quỹ vào tiền gửi tại các ngân hàng thương mại theo quy định của pháp luật ngân hàng; công cụ thị trường tiền tệ bao gồm giấy tờ có giá, công cụ chuyển nhượng theo quy định của pháp luật liên quan ; cổ phiếu niêm yết, cổ phiếu đăng ký giao dịch</w:t>
      </w:r>
      <w:r w:rsidR="00850F2F">
        <w:rPr>
          <w:rFonts w:ascii="Times New Roman" w:eastAsia="Times New Roman" w:hAnsi="Times New Roman" w:cs="Times New Roman"/>
          <w:bCs/>
          <w:lang w:val="vi-VN"/>
        </w:rPr>
        <w:t xml:space="preserve"> trên Sở giao dịch chứng khoán </w:t>
      </w:r>
      <w:r w:rsidRPr="00A62440">
        <w:rPr>
          <w:rFonts w:ascii="Times New Roman" w:eastAsia="Times New Roman" w:hAnsi="Times New Roman" w:cs="Times New Roman"/>
          <w:bCs/>
          <w:lang w:val="vi-VN"/>
        </w:rPr>
        <w:t>và cổ phiếu chào bán lần đầu ra công chúng</w:t>
      </w:r>
      <w:r w:rsidR="004740DA">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được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p>
    <w:p w14:paraId="5C5A8EAC" w14:textId="5AEE2DA2" w:rsidR="00CC55FD"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e) Quỹ không được đầu tư quá 10% tổng giá trị tài sản của Quỹ vào cổ phiếu chào bán lần đầu ra công chúng;</w:t>
      </w:r>
    </w:p>
    <w:p w14:paraId="3F3DF80B" w14:textId="4B6C91C1"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f) Tổng giá trị các danh mục đầu tư lớn trong danh mục đầu tư của Quỹ không được vượt quá 40% tổng giá trị tài sản của Quỹ;</w:t>
      </w:r>
      <w:r w:rsidR="004740DA">
        <w:rPr>
          <w:rFonts w:ascii="Times New Roman" w:eastAsia="Times New Roman" w:hAnsi="Times New Roman" w:cs="Times New Roman"/>
          <w:bCs/>
          <w:lang w:val="vi-VN"/>
        </w:rPr>
        <w:t xml:space="preserve"> </w:t>
      </w:r>
      <w:r w:rsidR="004740DA" w:rsidRPr="004740DA">
        <w:rPr>
          <w:rFonts w:ascii="Times New Roman" w:eastAsia="Times New Roman" w:hAnsi="Times New Roman" w:cs="Times New Roman"/>
          <w:bCs/>
          <w:lang w:val="vi-VN"/>
        </w:rPr>
        <w:t>Trong đó, hạng mục đầu tư lớn của Quỹ là hạng mục đầu tư vào</w:t>
      </w:r>
      <w:r w:rsidR="00850F2F">
        <w:rPr>
          <w:rFonts w:ascii="Times New Roman" w:eastAsia="Times New Roman" w:hAnsi="Times New Roman" w:cs="Times New Roman"/>
          <w:bCs/>
          <w:lang w:val="vi-VN"/>
        </w:rPr>
        <w:t xml:space="preserve"> </w:t>
      </w:r>
      <w:r w:rsidR="00850F2F" w:rsidRPr="00A62440">
        <w:rPr>
          <w:rFonts w:ascii="Times New Roman" w:eastAsia="Times New Roman" w:hAnsi="Times New Roman" w:cs="Times New Roman"/>
          <w:bCs/>
          <w:lang w:val="vi-VN"/>
        </w:rPr>
        <w:t>công cụ thị trường tiền tệ bao gồm giấy tờ có giá, công cụ chuyển nhượng theo quy định của pháp luật liên quan ; cổ phiếu niêm yết, cổ phiếu đăng ký giao dịch</w:t>
      </w:r>
      <w:r w:rsidR="00850F2F">
        <w:rPr>
          <w:rFonts w:ascii="Times New Roman" w:eastAsia="Times New Roman" w:hAnsi="Times New Roman" w:cs="Times New Roman"/>
          <w:bCs/>
          <w:lang w:val="vi-VN"/>
        </w:rPr>
        <w:t xml:space="preserve"> trên Sở giao dịch chứng khoán </w:t>
      </w:r>
      <w:r w:rsidR="00850F2F" w:rsidRPr="00A62440">
        <w:rPr>
          <w:rFonts w:ascii="Times New Roman" w:eastAsia="Times New Roman" w:hAnsi="Times New Roman" w:cs="Times New Roman"/>
          <w:bCs/>
          <w:lang w:val="vi-VN"/>
        </w:rPr>
        <w:t>và cổ phiếu chào bán lần đầu ra công chúng</w:t>
      </w:r>
      <w:r w:rsidR="004740DA" w:rsidRPr="004740DA">
        <w:rPr>
          <w:rFonts w:ascii="Times New Roman" w:eastAsia="Times New Roman" w:hAnsi="Times New Roman" w:cs="Times New Roman"/>
          <w:bCs/>
          <w:lang w:val="vi-VN"/>
        </w:rPr>
        <w:t xml:space="preserve"> (ngoại trừ chứng chỉ tiền gửi) phát hành bởi cùng một tổ chức, có tổng giá trị chiếm từ 5% trở lên tổng giá trị tài sản của Quỹ;</w:t>
      </w:r>
    </w:p>
    <w:p w14:paraId="61D52548" w14:textId="07BB4C32" w:rsidR="00BA7AB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 Tại mọi thời điểm, dư nợ vay và các khoản phải trả của Quỹ không được vượt quá giá trị tài sản ròng của Quỹ;</w:t>
      </w:r>
    </w:p>
    <w:p w14:paraId="77959E8F" w14:textId="7E598620"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h) Quỹ không được đầu tư vào chứng chỉ quỹ của Quỹ;</w:t>
      </w:r>
    </w:p>
    <w:p w14:paraId="6547D145" w14:textId="1F216F39"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i)  Quỹ không được đầu tư trực tiếp vào bất động sản, đá quý, kim loại quý hiếm; và</w:t>
      </w:r>
      <w:r w:rsidR="008205F7" w:rsidRPr="00A62440">
        <w:rPr>
          <w:rFonts w:ascii="Times New Roman" w:eastAsia="Times New Roman" w:hAnsi="Times New Roman" w:cs="Times New Roman"/>
          <w:bCs/>
          <w:lang w:val="vi-VN"/>
        </w:rPr>
        <w:tab/>
      </w:r>
    </w:p>
    <w:p w14:paraId="0F343330" w14:textId="175C91E3"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j) </w:t>
      </w:r>
      <w:r w:rsidR="00850F2F">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Danh mục đầu tư của Quỹ phải có chứng khoán của ít nhất sáu (6) tổ chức phát hành.</w:t>
      </w:r>
      <w:r w:rsidR="008205F7" w:rsidRPr="00A62440">
        <w:rPr>
          <w:rFonts w:ascii="Times New Roman" w:eastAsia="Times New Roman" w:hAnsi="Times New Roman" w:cs="Times New Roman"/>
          <w:bCs/>
          <w:lang w:val="vi-VN"/>
        </w:rPr>
        <w:tab/>
      </w:r>
    </w:p>
    <w:p w14:paraId="22AAA25C" w14:textId="4B7B7781" w:rsidR="00BA7AB2" w:rsidRPr="00A62440" w:rsidRDefault="008E5ADB"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B/ Ngoại trừ quy định tại các điểm g, h, i, j cơ cấu đầu tư của Quỹ được phép sai lệch so với các hạn chế đầu tư và chỉ do các nguyên nhân sau:</w:t>
      </w:r>
    </w:p>
    <w:p w14:paraId="57ED8DE2" w14:textId="0796235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Biến động giá trên thị trường của tài sản trong danh mục đầu tư của Quỹ;</w:t>
      </w:r>
    </w:p>
    <w:p w14:paraId="4F68F822" w14:textId="7FEB51DD"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Thực hiện các khoản thanh toán của quỹ theo quy định của pháp luật, bao gồm việc thực hiện lệnh giao dịch của Nhà Đầu tư;</w:t>
      </w:r>
    </w:p>
    <w:p w14:paraId="12F3FA4F"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Hoạt động chia tách, hợp nhất, sáp nhập của các tổ chức phát hành;</w:t>
      </w:r>
    </w:p>
    <w:p w14:paraId="22A880BD"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d) Quỹ mới được cấp phép thành lập hoặc do tách Quỹ, hợp nhất Quỹ, sáp nhập Quỹ mà thời gian hoạt động không quá sáu (06) tháng tính từ ngày được cấp Giấy Chứng nhận Đăng ký Thành lập Quỹ hoặc Giấy chứng nhận đăng ký lập quỹ điều chỉnh; hoặc</w:t>
      </w:r>
    </w:p>
    <w:p w14:paraId="74C39FC4" w14:textId="7AAAD285"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e) Quỹ đang trong thời gian giải thể.</w:t>
      </w:r>
    </w:p>
    <w:p w14:paraId="24DEEDD7"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 Kỳ kế toán, đơn vị tiền tệ sử dụng trong kế toán:</w:t>
      </w:r>
    </w:p>
    <w:p w14:paraId="20C4ACD5" w14:textId="6353E75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2.1. Kỳ kế toán: Kỳ kế toán năm của quỹ là từ ngày 01/01 đến ngày 31/12 hàng năm.</w:t>
      </w:r>
    </w:p>
    <w:p w14:paraId="4CA7C0A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2.2. Đơn vị tiền tệ sử dụng trong kế toán: Báo cáo tài chính được lập và trình bày bằng đồng Việt Nam (“VNĐ”)</w:t>
      </w:r>
    </w:p>
    <w:p w14:paraId="47D9500E"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 Chuẩn mực và Chế độ kế toán áp dụng</w:t>
      </w:r>
    </w:p>
    <w:p w14:paraId="73294B5A" w14:textId="30020DE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3.1. Chế độ kế toán áp dụng: Chế độ Kế toán Quỹ mở ban hành theo thông tư số 198/2012/TT-BTC ngày 15/11/2012  của Bộ Tài Chính.</w:t>
      </w:r>
    </w:p>
    <w:p w14:paraId="123C9E87" w14:textId="5CBF99D9"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3.2. Tuyên bố về việc tuân thủ Chuẩn mực kế toán và Chế độ kế toán: Báo cáo tài chính được lập theo các Chuẩn mực Kế toán Việt Nam, Thông tư số 198/2012/TT-BTC ngày 15 tháng 11 năm 2012 do Bộ Tài chính ban hành về chế độ kế toán áp dụng đối với quỹ mở, các quy định có liên quan của Thông tư số 98/2020TT-BTC ngày 16 tháng 11 năm 2020 do Bộ Tài chính ban hành (“Thông tư 98”) về hướng dẫn hoạt động và quản lý quỹ đầu tư chứng khoán và các quy định pháp lý có liên quan đến việc lập và trình bày báo cáo tài chính.</w:t>
      </w:r>
    </w:p>
    <w:p w14:paraId="765F1600"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3.3. Hình thức kế toán áp dụng: Quỹ áp dụng hình thức kế toán Nhật ký Chung.</w:t>
      </w:r>
    </w:p>
    <w:p w14:paraId="63D48B15"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Tiền và các khoản tương đương tiền bao gồm tiền gửi tại các ngân hàng cho hoạt động của Quỹ và các khoản đầu tư ngắn hạn không quá ba (3) tháng có khả năng chuyển đổi dễ dàng thành tiền và không có nhiều rủi ro trong chuyển đổi thành tiền kể từ ngày mua khoản đầu tư đó tại thời điểm báo cáo.</w:t>
      </w:r>
    </w:p>
    <w:p w14:paraId="32989E4C" w14:textId="28E7E8A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4. Các chính sách kế toán áp dụng</w:t>
      </w:r>
    </w:p>
    <w:p w14:paraId="4BCE6549" w14:textId="700FF761" w:rsidR="008205F7" w:rsidRDefault="009F4CB2" w:rsidP="00A62440">
      <w:pPr>
        <w:spacing w:before="120" w:after="120" w:line="240" w:lineRule="auto"/>
        <w:jc w:val="both"/>
        <w:rPr>
          <w:rFonts w:ascii="Times New Roman" w:eastAsia="Times New Roman" w:hAnsi="Times New Roman" w:cs="Times New Roman"/>
          <w:bCs/>
          <w:lang w:val="vi-VN"/>
        </w:rPr>
      </w:pPr>
      <w:r w:rsidRPr="009F4CB2">
        <w:rPr>
          <w:rFonts w:ascii="Times New Roman" w:eastAsia="Times New Roman" w:hAnsi="Times New Roman" w:cs="Times New Roman"/>
          <w:bCs/>
          <w:lang w:val="vi-VN"/>
        </w:rPr>
        <w:lastRenderedPageBreak/>
        <w:t>4.1.</w:t>
      </w:r>
      <w:r>
        <w:rPr>
          <w:rFonts w:ascii="Times New Roman" w:eastAsia="Times New Roman" w:hAnsi="Times New Roman" w:cs="Times New Roman"/>
          <w:bCs/>
          <w:lang w:val="vi-VN"/>
        </w:rPr>
        <w:t xml:space="preserve"> </w:t>
      </w:r>
      <w:r w:rsidRPr="009F4CB2">
        <w:rPr>
          <w:rFonts w:ascii="Times New Roman" w:eastAsia="Times New Roman" w:hAnsi="Times New Roman" w:cs="Times New Roman"/>
          <w:bCs/>
          <w:lang w:val="vi-VN"/>
        </w:rPr>
        <w:t>Tiền gửi ngân hàng và các khoản tương đương tiền</w:t>
      </w:r>
      <w:r w:rsidRPr="009F4CB2" w:rsidDel="009F4CB2">
        <w:rPr>
          <w:rFonts w:ascii="Times New Roman" w:eastAsia="Times New Roman" w:hAnsi="Times New Roman" w:cs="Times New Roman"/>
          <w:bCs/>
          <w:lang w:val="vi-VN"/>
        </w:rPr>
        <w:t xml:space="preserve"> </w:t>
      </w:r>
    </w:p>
    <w:p w14:paraId="21481673" w14:textId="3B718DF5" w:rsidR="009F4CB2" w:rsidRDefault="009F4CB2" w:rsidP="00A62440">
      <w:pPr>
        <w:spacing w:before="120" w:after="120" w:line="240" w:lineRule="auto"/>
        <w:jc w:val="both"/>
        <w:rPr>
          <w:rFonts w:ascii="Times New Roman" w:eastAsia="Times New Roman" w:hAnsi="Times New Roman" w:cs="Times New Roman"/>
          <w:bCs/>
          <w:lang w:val="vi-VN"/>
        </w:rPr>
      </w:pPr>
      <w:r w:rsidRPr="009F4CB2">
        <w:rPr>
          <w:rFonts w:ascii="Times New Roman" w:eastAsia="Times New Roman" w:hAnsi="Times New Roman" w:cs="Times New Roman"/>
          <w:bCs/>
          <w:lang w:val="vi-VN"/>
        </w:rPr>
        <w:t>Tiền và các khoản tương đương tiền bao gồm tiền gửi ngân hàng cho hoạt động của Quỹ, tiền gửi của nhà đầu tư về mua chứng chỉ quỹ chờ phân bổ và tiền gửi tại các tổ chức tín dụng có thời hạn đáo hạn hoặc thu hồi gốc không quá ba tháng kể từ ngày gửi và các khoản đầu tư ngắn hạn có thời hạn gốc không quá ba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4A51871B" w14:textId="0BEAA6F7" w:rsidR="009F4CB2" w:rsidRDefault="009F4CB2" w:rsidP="00A62440">
      <w:pPr>
        <w:spacing w:before="120" w:after="120" w:line="240" w:lineRule="auto"/>
        <w:jc w:val="both"/>
        <w:rPr>
          <w:rFonts w:ascii="Times New Roman" w:eastAsia="Times New Roman" w:hAnsi="Times New Roman" w:cs="Times New Roman"/>
          <w:bCs/>
          <w:lang w:val="vi-VN"/>
        </w:rPr>
      </w:pPr>
      <w:r w:rsidRPr="009F4CB2">
        <w:rPr>
          <w:rFonts w:ascii="Times New Roman" w:eastAsia="Times New Roman" w:hAnsi="Times New Roman" w:cs="Times New Roman"/>
          <w:bCs/>
          <w:lang w:val="vi-VN"/>
        </w:rPr>
        <w:t>4.2.</w:t>
      </w:r>
      <w:r>
        <w:rPr>
          <w:rFonts w:ascii="Times New Roman" w:eastAsia="Times New Roman" w:hAnsi="Times New Roman" w:cs="Times New Roman"/>
          <w:bCs/>
          <w:lang w:val="vi-VN"/>
        </w:rPr>
        <w:t xml:space="preserve"> </w:t>
      </w:r>
      <w:r w:rsidRPr="009F4CB2">
        <w:rPr>
          <w:rFonts w:ascii="Times New Roman" w:eastAsia="Times New Roman" w:hAnsi="Times New Roman" w:cs="Times New Roman"/>
          <w:bCs/>
          <w:lang w:val="vi-VN"/>
        </w:rPr>
        <w:t>Các khoản đầu tư</w:t>
      </w:r>
    </w:p>
    <w:p w14:paraId="69B159A7" w14:textId="77777777" w:rsidR="009F4CB2" w:rsidRPr="009F4CB2" w:rsidRDefault="009F4CB2" w:rsidP="009F4CB2">
      <w:pPr>
        <w:numPr>
          <w:ilvl w:val="0"/>
          <w:numId w:val="8"/>
        </w:numPr>
        <w:tabs>
          <w:tab w:val="left" w:pos="284"/>
        </w:tabs>
        <w:spacing w:before="120" w:after="120" w:line="360" w:lineRule="auto"/>
        <w:ind w:left="0" w:firstLine="0"/>
        <w:jc w:val="both"/>
        <w:rPr>
          <w:rFonts w:ascii="Times New Roman" w:eastAsia="Times New Roman" w:hAnsi="Times New Roman"/>
          <w:lang w:val="nl-NL"/>
        </w:rPr>
      </w:pPr>
      <w:proofErr w:type="spellStart"/>
      <w:r w:rsidRPr="00483A63">
        <w:rPr>
          <w:rFonts w:ascii="Times New Roman" w:eastAsia="Times New Roman" w:hAnsi="Times New Roman"/>
          <w:i/>
        </w:rPr>
        <w:t>Nguyên</w:t>
      </w:r>
      <w:proofErr w:type="spellEnd"/>
      <w:r w:rsidRPr="00483A63">
        <w:rPr>
          <w:rFonts w:ascii="Times New Roman" w:eastAsia="Times New Roman" w:hAnsi="Times New Roman"/>
          <w:i/>
        </w:rPr>
        <w:t xml:space="preserve"> </w:t>
      </w:r>
      <w:proofErr w:type="spellStart"/>
      <w:r w:rsidRPr="00483A63">
        <w:rPr>
          <w:rFonts w:ascii="Times New Roman" w:eastAsia="Times New Roman" w:hAnsi="Times New Roman"/>
          <w:i/>
        </w:rPr>
        <w:t>tắc</w:t>
      </w:r>
      <w:proofErr w:type="spellEnd"/>
      <w:r w:rsidRPr="00483A63">
        <w:rPr>
          <w:rFonts w:ascii="Times New Roman" w:eastAsia="Times New Roman" w:hAnsi="Times New Roman"/>
          <w:i/>
        </w:rPr>
        <w:t xml:space="preserve"> </w:t>
      </w:r>
      <w:proofErr w:type="spellStart"/>
      <w:r w:rsidRPr="00483A63">
        <w:rPr>
          <w:rFonts w:ascii="Times New Roman" w:eastAsia="Times New Roman" w:hAnsi="Times New Roman"/>
          <w:i/>
        </w:rPr>
        <w:t>phân</w:t>
      </w:r>
      <w:proofErr w:type="spellEnd"/>
      <w:r w:rsidRPr="00483A63">
        <w:rPr>
          <w:rFonts w:ascii="Times New Roman" w:eastAsia="Times New Roman" w:hAnsi="Times New Roman"/>
          <w:i/>
        </w:rPr>
        <w:t xml:space="preserve"> </w:t>
      </w:r>
      <w:proofErr w:type="spellStart"/>
      <w:r w:rsidRPr="00483A63">
        <w:rPr>
          <w:rFonts w:ascii="Times New Roman" w:eastAsia="Times New Roman" w:hAnsi="Times New Roman"/>
          <w:i/>
        </w:rPr>
        <w:t>loại</w:t>
      </w:r>
      <w:proofErr w:type="spellEnd"/>
    </w:p>
    <w:p w14:paraId="53C93E33" w14:textId="77777777" w:rsidR="009F4CB2" w:rsidRPr="00453F9E" w:rsidRDefault="009F4CB2" w:rsidP="009F4CB2">
      <w:pPr>
        <w:tabs>
          <w:tab w:val="left" w:pos="284"/>
        </w:tabs>
        <w:spacing w:before="120" w:after="120" w:line="360" w:lineRule="auto"/>
        <w:jc w:val="both"/>
        <w:rPr>
          <w:rFonts w:ascii="Times New Roman" w:eastAsia="Times New Roman" w:hAnsi="Times New Roman"/>
          <w:lang w:val="nl-NL"/>
        </w:rPr>
      </w:pPr>
      <w:r w:rsidRPr="00453F9E">
        <w:rPr>
          <w:rFonts w:ascii="Times New Roman" w:eastAsia="Times New Roman" w:hAnsi="Times New Roman"/>
          <w:lang w:val="nl-NL"/>
        </w:rPr>
        <w:t>Quỹ phân loại các chứng khoán niêm yết được mua với mục đích kinh doanh là chứng khoán kinh doanh.</w:t>
      </w:r>
    </w:p>
    <w:p w14:paraId="6A63FEE5" w14:textId="77777777" w:rsidR="009F4CB2" w:rsidRPr="00483A63" w:rsidRDefault="009F4CB2" w:rsidP="009F4CB2">
      <w:pPr>
        <w:numPr>
          <w:ilvl w:val="0"/>
          <w:numId w:val="8"/>
        </w:numPr>
        <w:tabs>
          <w:tab w:val="left" w:pos="284"/>
        </w:tabs>
        <w:spacing w:before="120" w:after="120" w:line="36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 xml:space="preserve">Ghi nhận ban đầu </w:t>
      </w:r>
    </w:p>
    <w:p w14:paraId="1E41E2A3" w14:textId="484BEF79" w:rsidR="009F4CB2" w:rsidRPr="00483A63" w:rsidRDefault="009F4CB2" w:rsidP="00483A63">
      <w:pPr>
        <w:tabs>
          <w:tab w:val="left" w:pos="284"/>
        </w:tabs>
        <w:spacing w:before="120" w:after="120" w:line="360" w:lineRule="auto"/>
        <w:jc w:val="both"/>
        <w:rPr>
          <w:rFonts w:ascii="Times New Roman" w:eastAsia="Times New Roman" w:hAnsi="Times New Roman"/>
          <w:b/>
          <w:i/>
          <w:lang w:val="nl-NL"/>
        </w:rPr>
      </w:pPr>
      <w:r w:rsidRPr="00453F9E">
        <w:rPr>
          <w:rFonts w:ascii="Times New Roman" w:hAnsi="Times New Roman"/>
          <w:lang w:val="nl-NL"/>
        </w:rPr>
        <w:t>Các khoản đầu tư được ghi nhận ban đầu theo giá gốc chỉ bao gồm giá mua mà không bao gồm các chi phí liên quan phát sinh để có được các khoản đầu tư.</w:t>
      </w:r>
    </w:p>
    <w:p w14:paraId="60A04780" w14:textId="77777777" w:rsidR="009F4CB2" w:rsidRPr="00483A63" w:rsidRDefault="009F4CB2" w:rsidP="009F4CB2">
      <w:pPr>
        <w:pStyle w:val="ListParagraph"/>
        <w:numPr>
          <w:ilvl w:val="0"/>
          <w:numId w:val="8"/>
        </w:numPr>
        <w:tabs>
          <w:tab w:val="left" w:pos="360"/>
        </w:tabs>
        <w:spacing w:before="120" w:after="120" w:line="360" w:lineRule="auto"/>
        <w:ind w:left="360"/>
        <w:jc w:val="both"/>
        <w:rPr>
          <w:rFonts w:ascii="Times New Roman" w:eastAsia="Times New Roman" w:hAnsi="Times New Roman"/>
          <w:bCs/>
          <w:i/>
          <w:lang w:val="nl-NL"/>
        </w:rPr>
      </w:pPr>
      <w:r w:rsidRPr="00483A63">
        <w:rPr>
          <w:rFonts w:ascii="Times New Roman" w:eastAsia="Times New Roman" w:hAnsi="Times New Roman"/>
          <w:bCs/>
          <w:i/>
          <w:lang w:val="nl-NL"/>
        </w:rPr>
        <w:t>Ghi nhận tiếp theo</w:t>
      </w:r>
    </w:p>
    <w:p w14:paraId="7FE3F3DB" w14:textId="77777777" w:rsidR="009F4CB2" w:rsidRPr="00453F9E" w:rsidRDefault="009F4CB2" w:rsidP="009F4CB2">
      <w:pPr>
        <w:spacing w:before="120" w:after="120" w:line="360" w:lineRule="auto"/>
        <w:jc w:val="both"/>
        <w:rPr>
          <w:rFonts w:ascii="Times New Roman" w:hAnsi="Times New Roman"/>
          <w:lang w:val="nl-NL"/>
        </w:rPr>
      </w:pPr>
      <w:r w:rsidRPr="00453F9E">
        <w:rPr>
          <w:rFonts w:ascii="Times New Roman" w:eastAsia="Times New Roman" w:hAnsi="Times New Roman"/>
          <w:lang w:val="nl-NL"/>
        </w:rPr>
        <w:t>Các khoản đầu tư được ghi nhận trên khoản mục “Các khoản đầu tư” trên báo cáo tình hình tài chính theo nguyên tắc như sau:</w:t>
      </w:r>
    </w:p>
    <w:p w14:paraId="670F0A26" w14:textId="77777777" w:rsidR="009F4CB2" w:rsidRPr="00453F9E" w:rsidRDefault="009F4CB2" w:rsidP="009F4CB2">
      <w:pPr>
        <w:spacing w:before="120" w:after="120" w:line="360" w:lineRule="auto"/>
        <w:ind w:firstLine="270"/>
        <w:jc w:val="both"/>
        <w:rPr>
          <w:rFonts w:ascii="Times New Roman" w:hAnsi="Times New Roman"/>
          <w:lang w:val="nl-NL"/>
        </w:rPr>
      </w:pPr>
      <w:r w:rsidRPr="00453F9E">
        <w:rPr>
          <w:rFonts w:ascii="Times New Roman" w:eastAsia="Times New Roman" w:hAnsi="Times New Roman"/>
          <w:lang w:val="nl-NL"/>
        </w:rPr>
        <w:t>+ Tiền gửi có kỳ hạn, chứng chỉ tiền gửi được ghi nhận theo giá gốc;</w:t>
      </w:r>
    </w:p>
    <w:p w14:paraId="47053BBB" w14:textId="77777777" w:rsidR="009F4CB2" w:rsidRPr="00453F9E" w:rsidRDefault="009F4CB2" w:rsidP="009F4CB2">
      <w:pPr>
        <w:spacing w:before="120" w:after="120" w:line="360" w:lineRule="auto"/>
        <w:ind w:firstLine="270"/>
        <w:jc w:val="both"/>
        <w:rPr>
          <w:rFonts w:ascii="Times New Roman" w:hAnsi="Times New Roman"/>
          <w:lang w:val="nl-NL"/>
        </w:rPr>
      </w:pPr>
      <w:r w:rsidRPr="00453F9E">
        <w:rPr>
          <w:rFonts w:ascii="Times New Roman" w:eastAsia="Times New Roman" w:hAnsi="Times New Roman"/>
          <w:lang w:val="nl-NL"/>
        </w:rPr>
        <w:t>+ Cổ phiếu niêm yết, chưa niêm yết được ghi nhận theo giá trị hợp lý của các cổ phiếu này; và</w:t>
      </w:r>
    </w:p>
    <w:p w14:paraId="2E68F7DF" w14:textId="77777777" w:rsidR="009F4CB2" w:rsidRPr="00453F9E" w:rsidRDefault="009F4CB2" w:rsidP="009F4CB2">
      <w:pPr>
        <w:spacing w:before="120" w:after="120" w:line="360" w:lineRule="auto"/>
        <w:jc w:val="both"/>
        <w:rPr>
          <w:rFonts w:ascii="Times New Roman" w:hAnsi="Times New Roman"/>
          <w:lang w:val="nl-NL"/>
        </w:rPr>
      </w:pPr>
      <w:r w:rsidRPr="00453F9E">
        <w:rPr>
          <w:rFonts w:ascii="Times New Roman" w:eastAsia="Times New Roman" w:hAnsi="Times New Roman"/>
          <w:lang w:val="nl-NL"/>
        </w:rPr>
        <w:t>Lợi nhuận thuần nhận được từ các khoản đầu tư phát sinh sau ngày đầu tư được ghi nhận vào báo cáo thu nhập.</w:t>
      </w:r>
    </w:p>
    <w:p w14:paraId="0BF9EDF2" w14:textId="77777777" w:rsidR="009F4CB2" w:rsidRPr="00453F9E" w:rsidRDefault="009F4CB2" w:rsidP="009F4CB2">
      <w:pPr>
        <w:spacing w:before="120" w:after="120" w:line="360" w:lineRule="auto"/>
        <w:jc w:val="both"/>
        <w:rPr>
          <w:rFonts w:ascii="Times New Roman" w:eastAsia="Times New Roman" w:hAnsi="Times New Roman"/>
          <w:lang w:val="nl-NL"/>
        </w:rPr>
      </w:pPr>
      <w:r w:rsidRPr="00453F9E">
        <w:rPr>
          <w:rFonts w:ascii="Times New Roman" w:hAnsi="Times New Roman"/>
          <w:lang w:val="nl-NL"/>
        </w:rPr>
        <w:t>Các khoản lãi lũy kế chưa thanh toán của các khoản tiền gửi, chứng chỉ tiền gửi có thể chuyển nhượng, trái phiếu và các công cụ nợ khác được ghi nhận tại khoản mục ‘Phải thu khác” trên báo cáo tình hình tài chính.</w:t>
      </w:r>
    </w:p>
    <w:p w14:paraId="0E2A1EC8" w14:textId="77777777" w:rsidR="009F4CB2" w:rsidRPr="00483A63" w:rsidRDefault="009F4CB2" w:rsidP="009F4CB2">
      <w:pPr>
        <w:numPr>
          <w:ilvl w:val="0"/>
          <w:numId w:val="8"/>
        </w:numPr>
        <w:tabs>
          <w:tab w:val="left" w:pos="360"/>
        </w:tabs>
        <w:spacing w:before="120" w:after="120" w:line="36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 xml:space="preserve">Định giá lại cho mục đích tính toán giá trị tài sản ròng của Quỹ </w:t>
      </w:r>
    </w:p>
    <w:p w14:paraId="00EB852C" w14:textId="77777777" w:rsidR="009F4CB2" w:rsidRPr="00453F9E" w:rsidRDefault="009F4CB2" w:rsidP="009F4CB2">
      <w:pPr>
        <w:spacing w:before="120" w:after="120" w:line="360" w:lineRule="auto"/>
        <w:jc w:val="both"/>
        <w:rPr>
          <w:rFonts w:ascii="Times New Roman" w:hAnsi="Times New Roman"/>
          <w:lang w:val="nl-NL"/>
        </w:rPr>
      </w:pPr>
      <w:r w:rsidRPr="00453F9E">
        <w:rPr>
          <w:rFonts w:ascii="Times New Roman" w:hAnsi="Times New Roman"/>
          <w:lang w:val="nl-NL"/>
        </w:rPr>
        <w:t xml:space="preserve">Các khoản đầu tư được đánh giá lại vào các ngày định giá theo giá trị hợp lý. Các khoản lãi, lỗ do đánh giá lại các khoản đầu tư được ghi nhận vào báo cáo thu nhập. Phương pháp đánh giá lại các khoản đầu tư được quy định trong Sổ tay Định giá được xây dựng phù hợp với phương pháp xác định giá trị tài sản quy định tại Điều lệ Quỹ,  Thông tư 183/2011/TT-BTC ngày 16 tháng 12 năm 2011 của Bộ tài chính hướng dẫn </w:t>
      </w:r>
      <w:r w:rsidRPr="00453F9E">
        <w:rPr>
          <w:rFonts w:ascii="Times New Roman" w:hAnsi="Times New Roman"/>
          <w:lang w:val="vi-VN"/>
        </w:rPr>
        <w:t>về việc</w:t>
      </w:r>
      <w:r w:rsidRPr="00453F9E">
        <w:rPr>
          <w:rFonts w:ascii="Times New Roman" w:hAnsi="Times New Roman"/>
          <w:lang w:val="nl-NL"/>
        </w:rPr>
        <w:t xml:space="preserve"> thành lập và quản lý quỹ mở, </w:t>
      </w:r>
      <w:r w:rsidRPr="00453F9E">
        <w:rPr>
          <w:rFonts w:ascii="Times New Roman" w:hAnsi="Times New Roman"/>
        </w:rPr>
        <w:t>Thông t</w:t>
      </w:r>
      <w:r w:rsidRPr="00453F9E">
        <w:rPr>
          <w:rFonts w:ascii="Times New Roman" w:hAnsi="Times New Roman"/>
          <w:lang w:val="vi-VN"/>
        </w:rPr>
        <w:t xml:space="preserve">ư </w:t>
      </w:r>
      <w:r w:rsidRPr="00453F9E">
        <w:rPr>
          <w:rFonts w:ascii="Times New Roman" w:hAnsi="Times New Roman"/>
        </w:rPr>
        <w:t>15</w:t>
      </w:r>
      <w:r w:rsidRPr="00453F9E">
        <w:rPr>
          <w:rFonts w:ascii="Times New Roman" w:hAnsi="Times New Roman"/>
          <w:lang w:val="vi-VN"/>
        </w:rPr>
        <w:t>/2016/TT-BTC</w:t>
      </w:r>
      <w:r w:rsidRPr="00453F9E">
        <w:rPr>
          <w:rFonts w:ascii="Times New Roman" w:hAnsi="Times New Roman"/>
        </w:rPr>
        <w:t xml:space="preserve"> </w:t>
      </w:r>
      <w:proofErr w:type="spellStart"/>
      <w:r w:rsidRPr="00453F9E">
        <w:rPr>
          <w:rFonts w:ascii="Times New Roman" w:hAnsi="Times New Roman"/>
        </w:rPr>
        <w:t>về</w:t>
      </w:r>
      <w:proofErr w:type="spellEnd"/>
      <w:r w:rsidRPr="00453F9E">
        <w:rPr>
          <w:rFonts w:ascii="Times New Roman" w:hAnsi="Times New Roman"/>
        </w:rPr>
        <w:t xml:space="preserve"> </w:t>
      </w:r>
      <w:proofErr w:type="spellStart"/>
      <w:r w:rsidRPr="00453F9E">
        <w:rPr>
          <w:rFonts w:ascii="Times New Roman" w:hAnsi="Times New Roman"/>
        </w:rPr>
        <w:t>việc</w:t>
      </w:r>
      <w:proofErr w:type="spellEnd"/>
      <w:r w:rsidRPr="00453F9E">
        <w:rPr>
          <w:rFonts w:ascii="Times New Roman" w:hAnsi="Times New Roman"/>
        </w:rPr>
        <w:t xml:space="preserve"> s</w:t>
      </w:r>
      <w:r w:rsidRPr="00453F9E">
        <w:rPr>
          <w:rFonts w:ascii="Times New Roman" w:hAnsi="Times New Roman"/>
          <w:lang w:val="vi-VN"/>
        </w:rPr>
        <w:t>ửa đổi, bổ sung một số điều của Thông tư số 183/2011/TT-BTC ngày 16 tháng 12 năm 2011 hướng dẫn về việc thành lập và quản lý quỹ mở</w:t>
      </w:r>
      <w:r w:rsidRPr="00453F9E">
        <w:rPr>
          <w:rFonts w:ascii="Times New Roman" w:hAnsi="Times New Roman"/>
          <w:lang w:val="nl-NL"/>
        </w:rPr>
        <w:t xml:space="preserve"> </w:t>
      </w:r>
      <w:r w:rsidRPr="00453F9E">
        <w:rPr>
          <w:rFonts w:ascii="Times New Roman" w:hAnsi="Times New Roman"/>
          <w:lang w:val="vi-VN"/>
        </w:rPr>
        <w:t>và</w:t>
      </w:r>
      <w:r w:rsidRPr="00453F9E">
        <w:rPr>
          <w:rFonts w:ascii="Times New Roman" w:hAnsi="Times New Roman"/>
          <w:lang w:val="nl-NL"/>
        </w:rPr>
        <w:t xml:space="preserve"> được Ban Đại diện Quỹ phê duyệt.</w:t>
      </w:r>
    </w:p>
    <w:p w14:paraId="34657EA7" w14:textId="77777777" w:rsidR="009F4CB2" w:rsidRPr="00483A63" w:rsidRDefault="009F4CB2" w:rsidP="009F4CB2">
      <w:pPr>
        <w:numPr>
          <w:ilvl w:val="0"/>
          <w:numId w:val="8"/>
        </w:numPr>
        <w:tabs>
          <w:tab w:val="left" w:pos="360"/>
        </w:tabs>
        <w:spacing w:before="120" w:after="120" w:line="36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Chấm dứt ghi nhận</w:t>
      </w:r>
    </w:p>
    <w:p w14:paraId="34B88BD5" w14:textId="77777777" w:rsidR="009F4CB2" w:rsidRPr="00453F9E" w:rsidRDefault="009F4CB2" w:rsidP="009F4CB2">
      <w:pPr>
        <w:spacing w:before="120" w:after="120" w:line="360" w:lineRule="auto"/>
        <w:jc w:val="both"/>
        <w:rPr>
          <w:rFonts w:ascii="Times New Roman" w:hAnsi="Times New Roman"/>
          <w:lang w:val="nl-NL"/>
        </w:rPr>
      </w:pPr>
      <w:r w:rsidRPr="00453F9E">
        <w:rPr>
          <w:rFonts w:ascii="Times New Roman" w:hAnsi="Times New Roman"/>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26D948F1" w14:textId="77777777" w:rsidR="009F4CB2" w:rsidRPr="00453F9E" w:rsidRDefault="009F4CB2" w:rsidP="00483A63">
      <w:pPr>
        <w:spacing w:before="120" w:after="120" w:line="360" w:lineRule="auto"/>
        <w:jc w:val="both"/>
        <w:rPr>
          <w:rFonts w:ascii="Times New Roman" w:hAnsi="Times New Roman"/>
          <w:lang w:val="nl-NL"/>
        </w:rPr>
      </w:pPr>
      <w:r w:rsidRPr="00453F9E">
        <w:rPr>
          <w:rFonts w:ascii="Times New Roman" w:hAnsi="Times New Roman"/>
          <w:lang w:val="nl-NL"/>
        </w:rPr>
        <w:t>Giá vốn của chứng khoán kinh doanh được tính theo phương pháp bình quân gia quyền.</w:t>
      </w:r>
    </w:p>
    <w:p w14:paraId="78D001DD" w14:textId="77777777" w:rsidR="009F4CB2" w:rsidRPr="00483A63" w:rsidRDefault="009F4CB2" w:rsidP="009F4CB2">
      <w:pPr>
        <w:numPr>
          <w:ilvl w:val="0"/>
          <w:numId w:val="8"/>
        </w:numPr>
        <w:tabs>
          <w:tab w:val="left" w:pos="360"/>
        </w:tabs>
        <w:spacing w:before="120" w:after="120" w:line="36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lastRenderedPageBreak/>
        <w:t>Quyền mua cổ phiếu</w:t>
      </w:r>
    </w:p>
    <w:p w14:paraId="0001632F" w14:textId="5EE483F4" w:rsidR="009F4CB2" w:rsidRDefault="009F4CB2" w:rsidP="009F4CB2">
      <w:pPr>
        <w:spacing w:before="120" w:after="120" w:line="240" w:lineRule="auto"/>
        <w:jc w:val="both"/>
        <w:rPr>
          <w:rFonts w:ascii="Times New Roman" w:hAnsi="Times New Roman"/>
          <w:bCs/>
          <w:iCs/>
          <w:lang w:val="nl-NL"/>
        </w:rPr>
      </w:pPr>
      <w:r w:rsidRPr="00453F9E">
        <w:rPr>
          <w:rFonts w:ascii="Times New Roman" w:hAnsi="Times New Roman"/>
          <w:bCs/>
          <w:iCs/>
          <w:lang w:val="nl-NL"/>
        </w:rPr>
        <w:t>Quyền mua cổ phiếu được hạch toán ban đầu vào các khoản đầu tư với giá trị bằng không (0). Quyền mua cổ phiếu này được đánh giá lại và hạch toán vào ngày lập báo cáo theo giá trị thị trường sau khi trừ giá cam kết mua nhân với tỷ lệ thực hiện quyền để mua một cổ phiếu mới.</w:t>
      </w:r>
    </w:p>
    <w:p w14:paraId="362CC3B7" w14:textId="77777777" w:rsidR="00274FF0" w:rsidRDefault="00274FF0" w:rsidP="0028623E">
      <w:pPr>
        <w:spacing w:before="120" w:after="120" w:line="240" w:lineRule="auto"/>
        <w:jc w:val="both"/>
        <w:rPr>
          <w:rFonts w:ascii="Times New Roman" w:eastAsia="Times New Roman" w:hAnsi="Times New Roman" w:cs="Times New Roman"/>
          <w:bCs/>
          <w:lang w:val="vi-VN"/>
        </w:rPr>
      </w:pPr>
    </w:p>
    <w:p w14:paraId="3B601647" w14:textId="3CCA4102" w:rsidR="0028623E" w:rsidRPr="00483A63" w:rsidRDefault="0028623E" w:rsidP="00483A63">
      <w:pPr>
        <w:spacing w:before="120" w:after="120" w:line="240" w:lineRule="auto"/>
        <w:jc w:val="both"/>
        <w:rPr>
          <w:rFonts w:ascii="Times New Roman" w:eastAsia="Times New Roman" w:hAnsi="Times New Roman" w:cs="Times New Roman"/>
          <w:bCs/>
          <w:lang w:val="vi-VN"/>
        </w:rPr>
      </w:pPr>
      <w:r>
        <w:rPr>
          <w:rFonts w:ascii="Times New Roman" w:eastAsia="Times New Roman" w:hAnsi="Times New Roman" w:cs="Times New Roman"/>
          <w:bCs/>
          <w:lang w:val="vi-VN"/>
        </w:rPr>
        <w:t xml:space="preserve">4.3. </w:t>
      </w:r>
      <w:r w:rsidRPr="00483A63">
        <w:rPr>
          <w:rFonts w:ascii="Times New Roman" w:eastAsia="Times New Roman" w:hAnsi="Times New Roman" w:cs="Times New Roman"/>
          <w:bCs/>
          <w:lang w:val="vi-VN"/>
        </w:rPr>
        <w:t>Các khoản phải thu và chi phí trích trước</w:t>
      </w:r>
    </w:p>
    <w:p w14:paraId="7043879E" w14:textId="77777777" w:rsidR="0028623E" w:rsidRPr="00453F9E" w:rsidRDefault="0028623E" w:rsidP="0028623E">
      <w:pPr>
        <w:tabs>
          <w:tab w:val="left" w:pos="6300"/>
          <w:tab w:val="decimal" w:pos="7380"/>
          <w:tab w:val="left" w:pos="7740"/>
          <w:tab w:val="decimal" w:pos="8820"/>
        </w:tabs>
        <w:spacing w:before="120" w:after="120" w:line="360" w:lineRule="auto"/>
        <w:jc w:val="both"/>
        <w:rPr>
          <w:rFonts w:ascii="Times New Roman" w:hAnsi="Times New Roman"/>
          <w:lang w:val="nl-NL"/>
        </w:rPr>
      </w:pPr>
      <w:r w:rsidRPr="00453F9E">
        <w:rPr>
          <w:rFonts w:ascii="Times New Roman" w:hAnsi="Times New Roman"/>
          <w:lang w:val="nl-NL"/>
        </w:rPr>
        <w:t>Các khoản phải thu được trình bày trên báo cáo tài chính theo giá trị ghi sổ các khoản phải thu từ bán các khoản đầu tư, cổ tức, tiền lãi từ các khoản đầu tư và các khoản phải thu khác.</w:t>
      </w:r>
    </w:p>
    <w:p w14:paraId="69B6B2D4" w14:textId="77777777" w:rsidR="0028623E" w:rsidRPr="00453F9E" w:rsidRDefault="0028623E" w:rsidP="0028623E">
      <w:pPr>
        <w:spacing w:before="120" w:after="120" w:line="360" w:lineRule="auto"/>
        <w:jc w:val="both"/>
        <w:rPr>
          <w:rFonts w:ascii="Times New Roman" w:eastAsia="Times New Roman" w:hAnsi="Times New Roman"/>
          <w:b/>
          <w:bCs/>
          <w:i/>
        </w:rPr>
      </w:pPr>
      <w:proofErr w:type="spellStart"/>
      <w:r w:rsidRPr="00453F9E">
        <w:rPr>
          <w:rFonts w:ascii="Times New Roman" w:eastAsia="Times New Roman" w:hAnsi="Times New Roman"/>
          <w:b/>
          <w:bCs/>
          <w:i/>
        </w:rPr>
        <w:t>Dự</w:t>
      </w:r>
      <w:proofErr w:type="spellEnd"/>
      <w:r w:rsidRPr="00453F9E">
        <w:rPr>
          <w:rFonts w:ascii="Times New Roman" w:eastAsia="Times New Roman" w:hAnsi="Times New Roman"/>
          <w:b/>
          <w:bCs/>
          <w:i/>
        </w:rPr>
        <w:t xml:space="preserve"> </w:t>
      </w:r>
      <w:proofErr w:type="spellStart"/>
      <w:r w:rsidRPr="00453F9E">
        <w:rPr>
          <w:rFonts w:ascii="Times New Roman" w:eastAsia="Times New Roman" w:hAnsi="Times New Roman"/>
          <w:b/>
          <w:bCs/>
          <w:i/>
        </w:rPr>
        <w:t>phòng</w:t>
      </w:r>
      <w:proofErr w:type="spellEnd"/>
      <w:r w:rsidRPr="00453F9E">
        <w:rPr>
          <w:rFonts w:ascii="Times New Roman" w:eastAsia="Times New Roman" w:hAnsi="Times New Roman"/>
          <w:b/>
          <w:bCs/>
          <w:i/>
        </w:rPr>
        <w:t xml:space="preserve"> </w:t>
      </w:r>
    </w:p>
    <w:p w14:paraId="20F767BA" w14:textId="77777777" w:rsidR="0028623E" w:rsidRPr="00453F9E" w:rsidRDefault="0028623E" w:rsidP="0028623E">
      <w:pPr>
        <w:tabs>
          <w:tab w:val="left" w:pos="6300"/>
          <w:tab w:val="decimal" w:pos="7380"/>
          <w:tab w:val="left" w:pos="7740"/>
          <w:tab w:val="decimal" w:pos="8820"/>
        </w:tabs>
        <w:spacing w:before="120" w:after="120" w:line="360" w:lineRule="auto"/>
        <w:jc w:val="both"/>
        <w:rPr>
          <w:rFonts w:ascii="Times New Roman" w:hAnsi="Times New Roman"/>
          <w:lang w:val="nl-NL"/>
        </w:rPr>
      </w:pPr>
      <w:r w:rsidRPr="00453F9E">
        <w:rPr>
          <w:rFonts w:ascii="Times New Roman" w:hAnsi="Times New Roman"/>
          <w:lang w:val="nl-NL"/>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trong năm. Trong đó, dự phòng liên quan đến phải thu bán chứng khoán được ghi nhận làm tăng chi phí trong năm, dự phòng liên quan đến cổ tức, trái tức và lãi tiền gửi được ghi nhận làm giảm thu nhập trong năm.</w:t>
      </w:r>
    </w:p>
    <w:p w14:paraId="4E5315F3" w14:textId="77777777" w:rsidR="0028623E" w:rsidRPr="00453F9E" w:rsidRDefault="0028623E" w:rsidP="0028623E">
      <w:pPr>
        <w:tabs>
          <w:tab w:val="left" w:pos="6300"/>
          <w:tab w:val="decimal" w:pos="7380"/>
          <w:tab w:val="left" w:pos="7740"/>
          <w:tab w:val="decimal" w:pos="8820"/>
        </w:tabs>
        <w:spacing w:before="120" w:after="120" w:line="360" w:lineRule="auto"/>
        <w:jc w:val="both"/>
        <w:rPr>
          <w:rFonts w:ascii="Times New Roman" w:hAnsi="Times New Roman"/>
          <w:lang w:val="nl-NL"/>
        </w:rPr>
      </w:pPr>
      <w:r w:rsidRPr="00453F9E">
        <w:rPr>
          <w:rFonts w:ascii="Times New Roman" w:hAnsi="Times New Roman"/>
          <w:lang w:val="nl-NL"/>
        </w:rPr>
        <w:t>Đối với các khoản nợ phải thu quá hạn thanh toán thì mức trích lập dự phòng theo hướng dẫn của Thông tư số 228/2009/TT-BTC và Thông tư số 89/2013/TT-BTC sửa đổi, bổ sung Thông tư số 228/2009/TT-BTC như sau:</w:t>
      </w:r>
    </w:p>
    <w:tbl>
      <w:tblPr>
        <w:tblW w:w="9171" w:type="dxa"/>
        <w:tblInd w:w="108" w:type="dxa"/>
        <w:tblLook w:val="04A0" w:firstRow="1" w:lastRow="0" w:firstColumn="1" w:lastColumn="0" w:noHBand="0" w:noVBand="1"/>
      </w:tblPr>
      <w:tblGrid>
        <w:gridCol w:w="6391"/>
        <w:gridCol w:w="2780"/>
      </w:tblGrid>
      <w:tr w:rsidR="0028623E" w:rsidRPr="00453F9E" w14:paraId="44418284" w14:textId="77777777" w:rsidTr="00B55FE8">
        <w:trPr>
          <w:trHeight w:val="397"/>
        </w:trPr>
        <w:tc>
          <w:tcPr>
            <w:tcW w:w="6391" w:type="dxa"/>
            <w:tcBorders>
              <w:top w:val="nil"/>
              <w:left w:val="nil"/>
              <w:bottom w:val="single" w:sz="4" w:space="0" w:color="auto"/>
              <w:right w:val="nil"/>
            </w:tcBorders>
            <w:shd w:val="clear" w:color="000000" w:fill="auto"/>
            <w:vAlign w:val="center"/>
            <w:hideMark/>
          </w:tcPr>
          <w:p w14:paraId="647DDAC6" w14:textId="77777777" w:rsidR="0028623E" w:rsidRPr="00453F9E" w:rsidRDefault="0028623E" w:rsidP="00B55FE8">
            <w:pPr>
              <w:spacing w:after="0" w:line="360" w:lineRule="auto"/>
              <w:jc w:val="both"/>
              <w:rPr>
                <w:rFonts w:ascii="Times New Roman" w:eastAsia="Times New Roman" w:hAnsi="Times New Roman"/>
                <w:b/>
                <w:bCs/>
                <w:lang w:eastAsia="en-GB"/>
              </w:rPr>
            </w:pPr>
            <w:proofErr w:type="spellStart"/>
            <w:r w:rsidRPr="00453F9E">
              <w:rPr>
                <w:rFonts w:ascii="Times New Roman" w:eastAsia="Times New Roman" w:hAnsi="Times New Roman"/>
                <w:b/>
                <w:bCs/>
                <w:lang w:eastAsia="en-GB"/>
              </w:rPr>
              <w:t>Thời</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gian</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quá</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hạn</w:t>
            </w:r>
            <w:proofErr w:type="spellEnd"/>
          </w:p>
        </w:tc>
        <w:tc>
          <w:tcPr>
            <w:tcW w:w="2780" w:type="dxa"/>
            <w:tcBorders>
              <w:top w:val="nil"/>
              <w:left w:val="nil"/>
              <w:bottom w:val="single" w:sz="4" w:space="0" w:color="auto"/>
              <w:right w:val="nil"/>
            </w:tcBorders>
            <w:shd w:val="clear" w:color="000000" w:fill="auto"/>
            <w:vAlign w:val="center"/>
            <w:hideMark/>
          </w:tcPr>
          <w:p w14:paraId="4B3ED36B" w14:textId="77777777" w:rsidR="0028623E" w:rsidRPr="00453F9E" w:rsidRDefault="0028623E" w:rsidP="00B55FE8">
            <w:pPr>
              <w:spacing w:after="0" w:line="360" w:lineRule="auto"/>
              <w:jc w:val="both"/>
              <w:rPr>
                <w:rFonts w:ascii="Times New Roman" w:eastAsia="Times New Roman" w:hAnsi="Times New Roman"/>
                <w:b/>
                <w:bCs/>
                <w:lang w:eastAsia="en-GB"/>
              </w:rPr>
            </w:pPr>
            <w:proofErr w:type="spellStart"/>
            <w:r w:rsidRPr="00453F9E">
              <w:rPr>
                <w:rFonts w:ascii="Times New Roman" w:eastAsia="Times New Roman" w:hAnsi="Times New Roman"/>
                <w:b/>
                <w:bCs/>
                <w:lang w:eastAsia="en-GB"/>
              </w:rPr>
              <w:t>Mức</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trích</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lập</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dự</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phòng</w:t>
            </w:r>
            <w:proofErr w:type="spellEnd"/>
          </w:p>
        </w:tc>
      </w:tr>
      <w:tr w:rsidR="0028623E" w:rsidRPr="00453F9E" w14:paraId="2B6F08B1" w14:textId="77777777" w:rsidTr="00B55FE8">
        <w:trPr>
          <w:trHeight w:val="25"/>
        </w:trPr>
        <w:tc>
          <w:tcPr>
            <w:tcW w:w="6391" w:type="dxa"/>
            <w:tcBorders>
              <w:top w:val="nil"/>
              <w:left w:val="nil"/>
              <w:bottom w:val="nil"/>
              <w:right w:val="nil"/>
            </w:tcBorders>
            <w:shd w:val="clear" w:color="auto" w:fill="auto"/>
            <w:vAlign w:val="center"/>
            <w:hideMark/>
          </w:tcPr>
          <w:p w14:paraId="2038E935" w14:textId="77777777" w:rsidR="0028623E" w:rsidRPr="00453F9E" w:rsidRDefault="0028623E" w:rsidP="00B55FE8">
            <w:pPr>
              <w:spacing w:after="0" w:line="36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Từ</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trên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sáu</w:t>
            </w:r>
            <w:proofErr w:type="spellEnd"/>
            <w:r w:rsidRPr="00453F9E">
              <w:rPr>
                <w:rFonts w:ascii="Times New Roman" w:eastAsia="Times New Roman" w:hAnsi="Times New Roman"/>
                <w:lang w:eastAsia="en-GB"/>
              </w:rPr>
              <w:t xml:space="preserve"> (06) </w:t>
            </w:r>
            <w:proofErr w:type="spellStart"/>
            <w:r w:rsidRPr="00453F9E">
              <w:rPr>
                <w:rFonts w:ascii="Times New Roman" w:eastAsia="Times New Roman" w:hAnsi="Times New Roman"/>
                <w:lang w:eastAsia="en-GB"/>
              </w:rPr>
              <w:t>tháng</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đến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dưới</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một</w:t>
            </w:r>
            <w:proofErr w:type="spellEnd"/>
            <w:r w:rsidRPr="00453F9E">
              <w:rPr>
                <w:rFonts w:ascii="Times New Roman" w:eastAsia="Times New Roman" w:hAnsi="Times New Roman"/>
                <w:lang w:eastAsia="en-GB"/>
              </w:rPr>
              <w:t xml:space="preserve"> (01)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shd w:val="clear" w:color="auto" w:fill="auto"/>
            <w:vAlign w:val="center"/>
            <w:hideMark/>
          </w:tcPr>
          <w:p w14:paraId="42575545" w14:textId="77777777" w:rsidR="0028623E" w:rsidRPr="00453F9E" w:rsidRDefault="0028623E" w:rsidP="00B55FE8">
            <w:pPr>
              <w:spacing w:after="0" w:line="360" w:lineRule="auto"/>
              <w:jc w:val="center"/>
              <w:rPr>
                <w:rFonts w:ascii="Times New Roman" w:eastAsia="Times New Roman" w:hAnsi="Times New Roman"/>
                <w:lang w:eastAsia="en-GB"/>
              </w:rPr>
            </w:pPr>
            <w:r w:rsidRPr="00453F9E">
              <w:rPr>
                <w:rFonts w:ascii="Times New Roman" w:eastAsia="Times New Roman" w:hAnsi="Times New Roman"/>
                <w:lang w:eastAsia="en-GB"/>
              </w:rPr>
              <w:t>30%</w:t>
            </w:r>
          </w:p>
        </w:tc>
      </w:tr>
      <w:tr w:rsidR="0028623E" w:rsidRPr="00453F9E" w14:paraId="01E34C32" w14:textId="77777777" w:rsidTr="00B55FE8">
        <w:trPr>
          <w:trHeight w:val="25"/>
        </w:trPr>
        <w:tc>
          <w:tcPr>
            <w:tcW w:w="6391" w:type="dxa"/>
            <w:tcBorders>
              <w:top w:val="nil"/>
              <w:left w:val="nil"/>
              <w:bottom w:val="nil"/>
              <w:right w:val="nil"/>
            </w:tcBorders>
            <w:shd w:val="clear" w:color="auto" w:fill="auto"/>
            <w:vAlign w:val="center"/>
            <w:hideMark/>
          </w:tcPr>
          <w:p w14:paraId="5DAD32DC" w14:textId="77777777" w:rsidR="0028623E" w:rsidRPr="00453F9E" w:rsidRDefault="0028623E" w:rsidP="00B55FE8">
            <w:pPr>
              <w:spacing w:after="0" w:line="36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Từ</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một</w:t>
            </w:r>
            <w:proofErr w:type="spellEnd"/>
            <w:r w:rsidRPr="00453F9E">
              <w:rPr>
                <w:rFonts w:ascii="Times New Roman" w:eastAsia="Times New Roman" w:hAnsi="Times New Roman"/>
                <w:lang w:eastAsia="en-GB"/>
              </w:rPr>
              <w:t xml:space="preserve"> (01) </w:t>
            </w:r>
            <w:proofErr w:type="spellStart"/>
            <w:r w:rsidRPr="00453F9E">
              <w:rPr>
                <w:rFonts w:ascii="Times New Roman" w:eastAsia="Times New Roman" w:hAnsi="Times New Roman"/>
                <w:lang w:eastAsia="en-GB"/>
              </w:rPr>
              <w:t>năm</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đến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dưới</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hai</w:t>
            </w:r>
            <w:proofErr w:type="spellEnd"/>
            <w:r w:rsidRPr="00453F9E">
              <w:rPr>
                <w:rFonts w:ascii="Times New Roman" w:eastAsia="Times New Roman" w:hAnsi="Times New Roman"/>
                <w:lang w:eastAsia="en-GB"/>
              </w:rPr>
              <w:t xml:space="preserve"> (02)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shd w:val="clear" w:color="auto" w:fill="auto"/>
            <w:vAlign w:val="center"/>
            <w:hideMark/>
          </w:tcPr>
          <w:p w14:paraId="5885037A" w14:textId="77777777" w:rsidR="0028623E" w:rsidRPr="00453F9E" w:rsidRDefault="0028623E" w:rsidP="00B55FE8">
            <w:pPr>
              <w:spacing w:after="0" w:line="360" w:lineRule="auto"/>
              <w:jc w:val="center"/>
              <w:rPr>
                <w:rFonts w:ascii="Times New Roman" w:eastAsia="Times New Roman" w:hAnsi="Times New Roman"/>
                <w:lang w:eastAsia="en-GB"/>
              </w:rPr>
            </w:pPr>
            <w:r w:rsidRPr="00453F9E">
              <w:rPr>
                <w:rFonts w:ascii="Times New Roman" w:eastAsia="Times New Roman" w:hAnsi="Times New Roman"/>
                <w:lang w:eastAsia="en-GB"/>
              </w:rPr>
              <w:t>50%</w:t>
            </w:r>
          </w:p>
        </w:tc>
      </w:tr>
      <w:tr w:rsidR="0028623E" w:rsidRPr="00453F9E" w14:paraId="32C80BE6" w14:textId="77777777" w:rsidTr="00B55FE8">
        <w:trPr>
          <w:trHeight w:val="25"/>
        </w:trPr>
        <w:tc>
          <w:tcPr>
            <w:tcW w:w="6391" w:type="dxa"/>
            <w:tcBorders>
              <w:top w:val="nil"/>
              <w:left w:val="nil"/>
              <w:bottom w:val="nil"/>
              <w:right w:val="nil"/>
            </w:tcBorders>
            <w:shd w:val="clear" w:color="auto" w:fill="auto"/>
            <w:vAlign w:val="center"/>
            <w:hideMark/>
          </w:tcPr>
          <w:p w14:paraId="07EECAB9" w14:textId="77777777" w:rsidR="0028623E" w:rsidRPr="00453F9E" w:rsidRDefault="0028623E" w:rsidP="00B55FE8">
            <w:pPr>
              <w:spacing w:after="0" w:line="36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Từ</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hai</w:t>
            </w:r>
            <w:proofErr w:type="spellEnd"/>
            <w:r w:rsidRPr="00453F9E">
              <w:rPr>
                <w:rFonts w:ascii="Times New Roman" w:eastAsia="Times New Roman" w:hAnsi="Times New Roman"/>
                <w:lang w:eastAsia="en-GB"/>
              </w:rPr>
              <w:t xml:space="preserve"> (02) </w:t>
            </w:r>
            <w:proofErr w:type="spellStart"/>
            <w:r w:rsidRPr="00453F9E">
              <w:rPr>
                <w:rFonts w:ascii="Times New Roman" w:eastAsia="Times New Roman" w:hAnsi="Times New Roman"/>
                <w:lang w:eastAsia="en-GB"/>
              </w:rPr>
              <w:t>năm</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đến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dưới</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ba</w:t>
            </w:r>
            <w:proofErr w:type="spellEnd"/>
            <w:r w:rsidRPr="00453F9E">
              <w:rPr>
                <w:rFonts w:ascii="Times New Roman" w:eastAsia="Times New Roman" w:hAnsi="Times New Roman"/>
                <w:lang w:eastAsia="en-GB"/>
              </w:rPr>
              <w:t xml:space="preserve"> (03)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shd w:val="clear" w:color="auto" w:fill="auto"/>
            <w:vAlign w:val="center"/>
            <w:hideMark/>
          </w:tcPr>
          <w:p w14:paraId="6EE3C34B" w14:textId="77777777" w:rsidR="0028623E" w:rsidRPr="00453F9E" w:rsidRDefault="0028623E" w:rsidP="00B55FE8">
            <w:pPr>
              <w:spacing w:after="0" w:line="360" w:lineRule="auto"/>
              <w:jc w:val="center"/>
              <w:rPr>
                <w:rFonts w:ascii="Times New Roman" w:eastAsia="Times New Roman" w:hAnsi="Times New Roman"/>
                <w:lang w:eastAsia="en-GB"/>
              </w:rPr>
            </w:pPr>
            <w:r w:rsidRPr="00453F9E">
              <w:rPr>
                <w:rFonts w:ascii="Times New Roman" w:eastAsia="Times New Roman" w:hAnsi="Times New Roman"/>
                <w:lang w:eastAsia="en-GB"/>
              </w:rPr>
              <w:t>70%</w:t>
            </w:r>
          </w:p>
        </w:tc>
      </w:tr>
      <w:tr w:rsidR="0028623E" w:rsidRPr="00453F9E" w14:paraId="5F5F3AE3" w14:textId="77777777" w:rsidTr="00B55FE8">
        <w:trPr>
          <w:trHeight w:val="25"/>
        </w:trPr>
        <w:tc>
          <w:tcPr>
            <w:tcW w:w="6391" w:type="dxa"/>
            <w:tcBorders>
              <w:top w:val="nil"/>
              <w:left w:val="nil"/>
              <w:bottom w:val="nil"/>
              <w:right w:val="nil"/>
            </w:tcBorders>
            <w:shd w:val="clear" w:color="auto" w:fill="auto"/>
            <w:vAlign w:val="center"/>
            <w:hideMark/>
          </w:tcPr>
          <w:p w14:paraId="3F7D4441" w14:textId="77777777" w:rsidR="0028623E" w:rsidRPr="00453F9E" w:rsidRDefault="0028623E" w:rsidP="00B55FE8">
            <w:pPr>
              <w:spacing w:after="0" w:line="36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Trên</w:t>
            </w:r>
            <w:proofErr w:type="spellEnd"/>
            <w:r w:rsidRPr="00453F9E">
              <w:rPr>
                <w:rFonts w:ascii="Times New Roman" w:eastAsia="Times New Roman" w:hAnsi="Times New Roman"/>
                <w:lang w:eastAsia="en-GB"/>
              </w:rPr>
              <w:t xml:space="preserve"> ba (03)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shd w:val="clear" w:color="auto" w:fill="auto"/>
            <w:vAlign w:val="center"/>
            <w:hideMark/>
          </w:tcPr>
          <w:p w14:paraId="43B05950" w14:textId="77777777" w:rsidR="0028623E" w:rsidRPr="00453F9E" w:rsidRDefault="0028623E" w:rsidP="00B55FE8">
            <w:pPr>
              <w:spacing w:after="0" w:line="360" w:lineRule="auto"/>
              <w:jc w:val="center"/>
              <w:rPr>
                <w:rFonts w:ascii="Times New Roman" w:eastAsia="Times New Roman" w:hAnsi="Times New Roman"/>
                <w:lang w:eastAsia="en-GB"/>
              </w:rPr>
            </w:pPr>
            <w:r w:rsidRPr="00453F9E">
              <w:rPr>
                <w:rFonts w:ascii="Times New Roman" w:eastAsia="Times New Roman" w:hAnsi="Times New Roman"/>
                <w:lang w:eastAsia="en-GB"/>
              </w:rPr>
              <w:t>100%</w:t>
            </w:r>
          </w:p>
        </w:tc>
      </w:tr>
    </w:tbl>
    <w:p w14:paraId="6F0E661C" w14:textId="3B3847A8" w:rsidR="00274FF0" w:rsidRPr="00483A63" w:rsidRDefault="00274FF0" w:rsidP="00483A63">
      <w:pPr>
        <w:pStyle w:val="ListParagraph"/>
        <w:numPr>
          <w:ilvl w:val="1"/>
          <w:numId w:val="11"/>
        </w:numPr>
        <w:spacing w:before="240" w:after="120" w:line="360" w:lineRule="auto"/>
        <w:jc w:val="both"/>
        <w:rPr>
          <w:rFonts w:ascii="Times New Roman" w:eastAsia="Times New Roman" w:hAnsi="Times New Roman"/>
        </w:rPr>
      </w:pPr>
      <w:r w:rsidRPr="00483A63">
        <w:rPr>
          <w:rFonts w:ascii="Times New Roman" w:eastAsia="Times New Roman" w:hAnsi="Times New Roman"/>
          <w:lang w:val="vi-VN"/>
        </w:rPr>
        <w:t xml:space="preserve"> </w:t>
      </w:r>
      <w:proofErr w:type="spellStart"/>
      <w:r w:rsidRPr="00483A63">
        <w:rPr>
          <w:rFonts w:ascii="Times New Roman" w:eastAsia="Times New Roman" w:hAnsi="Times New Roman"/>
        </w:rPr>
        <w:t>Các</w:t>
      </w:r>
      <w:proofErr w:type="spellEnd"/>
      <w:r w:rsidRPr="00483A63">
        <w:rPr>
          <w:rFonts w:ascii="Times New Roman" w:eastAsia="Times New Roman" w:hAnsi="Times New Roman"/>
        </w:rPr>
        <w:t xml:space="preserve"> </w:t>
      </w:r>
      <w:proofErr w:type="spellStart"/>
      <w:r w:rsidRPr="00483A63">
        <w:rPr>
          <w:rFonts w:ascii="Times New Roman" w:eastAsia="Times New Roman" w:hAnsi="Times New Roman"/>
        </w:rPr>
        <w:t>khoản</w:t>
      </w:r>
      <w:proofErr w:type="spellEnd"/>
      <w:r w:rsidRPr="00483A63">
        <w:rPr>
          <w:rFonts w:ascii="Times New Roman" w:eastAsia="Times New Roman" w:hAnsi="Times New Roman"/>
        </w:rPr>
        <w:t xml:space="preserve"> </w:t>
      </w:r>
      <w:proofErr w:type="spellStart"/>
      <w:r w:rsidRPr="00483A63">
        <w:rPr>
          <w:rFonts w:ascii="Times New Roman" w:eastAsia="Times New Roman" w:hAnsi="Times New Roman"/>
        </w:rPr>
        <w:t>phải</w:t>
      </w:r>
      <w:proofErr w:type="spellEnd"/>
      <w:r w:rsidRPr="00483A63">
        <w:rPr>
          <w:rFonts w:ascii="Times New Roman" w:eastAsia="Times New Roman" w:hAnsi="Times New Roman"/>
        </w:rPr>
        <w:t xml:space="preserve"> </w:t>
      </w:r>
      <w:proofErr w:type="spellStart"/>
      <w:r w:rsidRPr="00483A63">
        <w:rPr>
          <w:rFonts w:ascii="Times New Roman" w:eastAsia="Times New Roman" w:hAnsi="Times New Roman"/>
        </w:rPr>
        <w:t>trả</w:t>
      </w:r>
      <w:proofErr w:type="spellEnd"/>
      <w:r w:rsidRPr="00483A63">
        <w:rPr>
          <w:rFonts w:ascii="Times New Roman" w:eastAsia="Times New Roman" w:hAnsi="Times New Roman"/>
        </w:rPr>
        <w:t xml:space="preserve"> </w:t>
      </w:r>
    </w:p>
    <w:p w14:paraId="16702B9F" w14:textId="77777777" w:rsidR="00274FF0"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và Ngân hàng Giám sát và các khoản phải trả khác.</w:t>
      </w:r>
    </w:p>
    <w:p w14:paraId="5781DD08" w14:textId="77777777" w:rsidR="00274FF0" w:rsidRDefault="00274FF0" w:rsidP="00274FF0">
      <w:pPr>
        <w:pStyle w:val="ListParagraph"/>
        <w:numPr>
          <w:ilvl w:val="1"/>
          <w:numId w:val="11"/>
        </w:numPr>
        <w:rPr>
          <w:rFonts w:ascii="Times New Roman" w:hAnsi="Times New Roman"/>
          <w:lang w:val="vi-VN"/>
        </w:rPr>
      </w:pPr>
      <w:r w:rsidRPr="00274FF0">
        <w:rPr>
          <w:rFonts w:ascii="Times New Roman" w:hAnsi="Times New Roman"/>
          <w:lang w:val="vi-VN"/>
        </w:rPr>
        <w:t xml:space="preserve">Các giao dịch về vốn và thặng dư vốn </w:t>
      </w:r>
    </w:p>
    <w:p w14:paraId="6BBDED0A" w14:textId="77777777" w:rsidR="00274FF0" w:rsidRPr="00274FF0" w:rsidRDefault="00274FF0" w:rsidP="00483A63">
      <w:pPr>
        <w:pStyle w:val="ListParagraph"/>
        <w:ind w:left="360"/>
        <w:rPr>
          <w:rFonts w:ascii="Times New Roman" w:hAnsi="Times New Roman"/>
          <w:lang w:val="vi-VN"/>
        </w:rPr>
      </w:pPr>
    </w:p>
    <w:p w14:paraId="43E3FFE5" w14:textId="53D1889E" w:rsidR="00274FF0" w:rsidRPr="00483A63" w:rsidRDefault="00274FF0" w:rsidP="00483A63">
      <w:pPr>
        <w:pStyle w:val="ListParagraph"/>
        <w:numPr>
          <w:ilvl w:val="0"/>
          <w:numId w:val="15"/>
        </w:numPr>
        <w:spacing w:before="120" w:after="120" w:line="360" w:lineRule="auto"/>
        <w:jc w:val="both"/>
        <w:rPr>
          <w:rFonts w:ascii="Times New Roman" w:hAnsi="Times New Roman"/>
          <w:b/>
          <w:i/>
          <w:lang w:val="nl-NL"/>
        </w:rPr>
      </w:pPr>
      <w:r w:rsidRPr="00483A63">
        <w:rPr>
          <w:rFonts w:ascii="Times New Roman" w:hAnsi="Times New Roman"/>
          <w:b/>
          <w:i/>
          <w:lang w:val="nl-NL"/>
        </w:rPr>
        <w:t xml:space="preserve">Vốn chủ sở hữu </w:t>
      </w:r>
    </w:p>
    <w:p w14:paraId="1CDCD214"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 xml:space="preserve">Các chứng chỉ quỹ với quyền hưởng cổ tức được phân loại là vốn chủ sở hữu. Mỗi đơn vị quỹ có mệnh giá là 10.000 đồng Việt Nam. </w:t>
      </w:r>
    </w:p>
    <w:p w14:paraId="5E741398"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Số lượng chứng chỉ quỹ sau khi phân phối là số lẻ ở dạng thập phân, làm tròn xuống tới số hạng thứ hai sau dấu phẩy.</w:t>
      </w:r>
    </w:p>
    <w:p w14:paraId="26208F41" w14:textId="77777777" w:rsidR="00274FF0" w:rsidRPr="00453F9E" w:rsidRDefault="00274FF0" w:rsidP="00274FF0">
      <w:pPr>
        <w:spacing w:before="120" w:after="120" w:line="360" w:lineRule="auto"/>
        <w:jc w:val="both"/>
        <w:rPr>
          <w:rFonts w:ascii="Times New Roman" w:hAnsi="Times New Roman"/>
          <w:i/>
          <w:lang w:val="nl-NL"/>
        </w:rPr>
      </w:pPr>
    </w:p>
    <w:p w14:paraId="726B2927" w14:textId="77777777" w:rsidR="00274FF0" w:rsidRPr="00453F9E" w:rsidRDefault="00274FF0" w:rsidP="00274FF0">
      <w:pPr>
        <w:spacing w:before="120" w:after="120" w:line="360" w:lineRule="auto"/>
        <w:jc w:val="both"/>
        <w:rPr>
          <w:rFonts w:ascii="Times New Roman" w:hAnsi="Times New Roman"/>
          <w:i/>
          <w:lang w:val="nl-NL"/>
        </w:rPr>
      </w:pPr>
      <w:r w:rsidRPr="00453F9E">
        <w:rPr>
          <w:rFonts w:ascii="Times New Roman" w:hAnsi="Times New Roman"/>
          <w:i/>
          <w:lang w:val="nl-NL"/>
        </w:rPr>
        <w:lastRenderedPageBreak/>
        <w:t>Vốn góp phát hành</w:t>
      </w:r>
    </w:p>
    <w:p w14:paraId="1416AF5D"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Vốn góp phát hành phản ánh nguồn vốn đầu tư của Quỹ do các nhà đầu tư góp vốn vào Quỹ theo phương thức mua chứng chỉ quỹ ở phát hành lần đầu và các lần tiếp theo. Vốn góp phát hành được phản ánh theo mệnh giá.</w:t>
      </w:r>
    </w:p>
    <w:p w14:paraId="45522F5E" w14:textId="77777777" w:rsidR="00274FF0" w:rsidRPr="00453F9E" w:rsidRDefault="00274FF0" w:rsidP="00274FF0">
      <w:pPr>
        <w:spacing w:before="120" w:after="120" w:line="360" w:lineRule="auto"/>
        <w:jc w:val="both"/>
        <w:rPr>
          <w:rFonts w:ascii="Times New Roman" w:hAnsi="Times New Roman"/>
          <w:i/>
          <w:lang w:val="nl-NL"/>
        </w:rPr>
      </w:pPr>
      <w:r w:rsidRPr="00453F9E">
        <w:rPr>
          <w:rFonts w:ascii="Times New Roman" w:hAnsi="Times New Roman"/>
          <w:i/>
          <w:lang w:val="nl-NL"/>
        </w:rPr>
        <w:t>Vốn góp mua lại</w:t>
      </w:r>
    </w:p>
    <w:p w14:paraId="7CF005E8"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Vốn góp mua lại phản ánh tình hình mua lại chứng chỉ quỹ của các Nhà đầu tư tại các kỳ giao dịch chứng chỉ quỹ. Vốn góp mua lại được phản ánh theo mệnh giá.</w:t>
      </w:r>
    </w:p>
    <w:p w14:paraId="1F1F908A" w14:textId="77777777" w:rsidR="00274FF0" w:rsidRPr="00453F9E" w:rsidRDefault="00274FF0" w:rsidP="00274FF0">
      <w:pPr>
        <w:spacing w:before="120" w:after="120" w:line="360" w:lineRule="auto"/>
        <w:jc w:val="both"/>
        <w:rPr>
          <w:rFonts w:ascii="Times New Roman" w:hAnsi="Times New Roman"/>
          <w:i/>
          <w:lang w:val="nl-NL"/>
        </w:rPr>
      </w:pPr>
      <w:r w:rsidRPr="00453F9E">
        <w:rPr>
          <w:rFonts w:ascii="Times New Roman" w:hAnsi="Times New Roman"/>
          <w:i/>
          <w:lang w:val="nl-NL"/>
        </w:rPr>
        <w:t>Thặng dư vốn góp của nhà đầu tư</w:t>
      </w:r>
    </w:p>
    <w:p w14:paraId="4853069B" w14:textId="77777777" w:rsidR="00274FF0" w:rsidRDefault="00274FF0" w:rsidP="00274FF0">
      <w:pPr>
        <w:spacing w:before="144" w:after="144" w:line="360" w:lineRule="auto"/>
        <w:jc w:val="both"/>
        <w:rPr>
          <w:rFonts w:ascii="Times New Roman" w:eastAsia="Times New Roman" w:hAnsi="Times New Roman"/>
          <w:bCs/>
          <w:lang w:eastAsia="en-GB"/>
        </w:rPr>
      </w:pPr>
      <w:bookmarkStart w:id="1" w:name="_Hlk30069579"/>
      <w:proofErr w:type="spellStart"/>
      <w:r w:rsidRPr="00453F9E">
        <w:rPr>
          <w:rFonts w:ascii="Times New Roman" w:eastAsia="Times New Roman" w:hAnsi="Times New Roman"/>
          <w:bCs/>
          <w:lang w:eastAsia="en-GB"/>
        </w:rPr>
        <w:t>Thặng</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dư</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vốn</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góp</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thể</w:t>
      </w:r>
      <w:proofErr w:type="spellEnd"/>
      <w:r w:rsidRPr="00453F9E">
        <w:rPr>
          <w:rFonts w:ascii="Times New Roman" w:eastAsia="Times New Roman" w:hAnsi="Times New Roman"/>
          <w:bCs/>
          <w:lang w:eastAsia="en-GB"/>
        </w:rPr>
        <w:t> </w:t>
      </w:r>
      <w:proofErr w:type="spellStart"/>
      <w:r w:rsidRPr="00453F9E">
        <w:rPr>
          <w:rFonts w:ascii="Times New Roman" w:eastAsia="Times New Roman" w:hAnsi="Times New Roman"/>
          <w:bCs/>
          <w:lang w:eastAsia="en-GB"/>
        </w:rPr>
        <w:t>hiện</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chênh</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lệch</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giữa</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giá</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trị</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tài</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sản</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ròng</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trên</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một</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chứng</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chỉ</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quỹ</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với</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mệnh</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giá</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trên</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một</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chứng</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chỉ</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quỹ</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được</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phát</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hành</w:t>
      </w:r>
      <w:proofErr w:type="spellEnd"/>
      <w:r w:rsidRPr="00453F9E">
        <w:rPr>
          <w:rFonts w:ascii="Times New Roman" w:eastAsia="Times New Roman" w:hAnsi="Times New Roman"/>
          <w:bCs/>
          <w:lang w:eastAsia="en-GB"/>
        </w:rPr>
        <w:t>/</w:t>
      </w:r>
      <w:proofErr w:type="spellStart"/>
      <w:r w:rsidRPr="00453F9E">
        <w:rPr>
          <w:rFonts w:ascii="Times New Roman" w:eastAsia="Times New Roman" w:hAnsi="Times New Roman"/>
          <w:bCs/>
          <w:lang w:eastAsia="en-GB"/>
        </w:rPr>
        <w:t>mua</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lại</w:t>
      </w:r>
      <w:proofErr w:type="spellEnd"/>
      <w:r w:rsidRPr="00453F9E">
        <w:rPr>
          <w:rFonts w:ascii="Times New Roman" w:eastAsia="Times New Roman" w:hAnsi="Times New Roman"/>
          <w:bCs/>
          <w:lang w:eastAsia="en-GB"/>
        </w:rPr>
        <w:t>.</w:t>
      </w:r>
      <w:bookmarkEnd w:id="1"/>
    </w:p>
    <w:p w14:paraId="1C5D0A53" w14:textId="6AF212B8" w:rsidR="00274FF0" w:rsidRPr="00483A63" w:rsidRDefault="00274FF0" w:rsidP="00483A63">
      <w:pPr>
        <w:pStyle w:val="ListParagraph"/>
        <w:numPr>
          <w:ilvl w:val="0"/>
          <w:numId w:val="15"/>
        </w:numPr>
        <w:spacing w:before="144" w:after="144" w:line="360" w:lineRule="auto"/>
        <w:jc w:val="both"/>
        <w:rPr>
          <w:rFonts w:ascii="Times New Roman" w:eastAsia="Times New Roman" w:hAnsi="Times New Roman"/>
          <w:bCs/>
          <w:lang w:eastAsia="en-GB"/>
        </w:rPr>
      </w:pPr>
      <w:r w:rsidRPr="00483A63">
        <w:rPr>
          <w:rFonts w:ascii="Times New Roman" w:hAnsi="Times New Roman"/>
          <w:b/>
          <w:i/>
          <w:lang w:val="nl-NL"/>
        </w:rPr>
        <w:t>Lợi nhuận/(lỗ) chưa phân phối</w:t>
      </w:r>
    </w:p>
    <w:p w14:paraId="3861C388"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Lợi nhuận/(lỗ) chưa phân phối phản ánh lãi//(lỗ) chưa phân phối tại thời điểm báo cáo, bao gồm lợi nhuận đã thực hiện và lợi nhuận chưa thực hiện.</w:t>
      </w:r>
    </w:p>
    <w:p w14:paraId="199706C9"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Lợi nhuận/(lỗ) đã thực hiện là số chênh lệch giữa tổng thu nhập, doanh thu với tổng các khoản chi phí của Quỹ lũy kế phát sinh trong năm.</w:t>
      </w:r>
    </w:p>
    <w:p w14:paraId="51EC0058"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Lợi nhuận/(lỗ) chưa thực hiện là số chênh lệch giữa tổng giá trị lãi, lỗ đánh giá lại của các khoản đầu tư thuộc danh mục đầu tư của Quỹ lũy kế phát sinh trong năm.</w:t>
      </w:r>
    </w:p>
    <w:p w14:paraId="65D61A11"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Cuối niên độ kế toán, Quỹ xác định lợi nhuận/(lỗ) đã thực hiện và lợi nhuận/(lỗ) chưa thực hiện trong kỳ và ghi nhận vào “</w:t>
      </w:r>
      <w:r w:rsidRPr="00453F9E">
        <w:rPr>
          <w:rFonts w:ascii="Times New Roman" w:hAnsi="Times New Roman"/>
          <w:i/>
          <w:lang w:val="nl-NL"/>
        </w:rPr>
        <w:t>Lợi nhuận/(lỗ) chưa phân phối</w:t>
      </w:r>
      <w:r w:rsidRPr="00453F9E">
        <w:rPr>
          <w:rFonts w:ascii="Times New Roman" w:hAnsi="Times New Roman"/>
          <w:lang w:val="nl-NL"/>
        </w:rPr>
        <w:t>”.</w:t>
      </w:r>
    </w:p>
    <w:p w14:paraId="61B2DFCE" w14:textId="5C567FC5" w:rsidR="00274FF0" w:rsidRPr="00483A63" w:rsidRDefault="00274FF0" w:rsidP="00483A63">
      <w:pPr>
        <w:pStyle w:val="ListParagraph"/>
        <w:numPr>
          <w:ilvl w:val="0"/>
          <w:numId w:val="15"/>
        </w:numPr>
        <w:tabs>
          <w:tab w:val="left" w:pos="360"/>
        </w:tabs>
        <w:spacing w:before="120" w:after="120" w:line="360" w:lineRule="auto"/>
        <w:jc w:val="both"/>
        <w:rPr>
          <w:rFonts w:ascii="Times New Roman" w:hAnsi="Times New Roman"/>
          <w:b/>
          <w:i/>
          <w:lang w:val="nl-NL"/>
        </w:rPr>
      </w:pPr>
      <w:r w:rsidRPr="00483A63">
        <w:rPr>
          <w:rFonts w:ascii="Times New Roman" w:hAnsi="Times New Roman"/>
          <w:b/>
          <w:i/>
          <w:lang w:val="nl-NL"/>
        </w:rPr>
        <w:t>Lợi nhuận/Tài sản phân phối cho nhà đầu tư</w:t>
      </w:r>
    </w:p>
    <w:p w14:paraId="2640D5AD"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Khoản mục này phản ánh số lợi nhuận/tài sản đã phân phối trong năm cho nhà đầu tư và việc kết chuyển số lợi nhuận đã phân phối sang tài khoản lợi nhuận chưa phân phối vào cuối năm.</w:t>
      </w:r>
    </w:p>
    <w:p w14:paraId="30963652" w14:textId="205220A5" w:rsidR="00274FF0" w:rsidRPr="00483A63" w:rsidRDefault="00274FF0" w:rsidP="00274FF0">
      <w:pPr>
        <w:spacing w:before="120" w:after="120" w:line="360" w:lineRule="auto"/>
        <w:jc w:val="both"/>
        <w:rPr>
          <w:rFonts w:ascii="Times New Roman" w:hAnsi="Times New Roman"/>
          <w:lang w:val="vi-VN"/>
        </w:rPr>
      </w:pPr>
      <w:r w:rsidRPr="00453F9E">
        <w:rPr>
          <w:rFonts w:ascii="Times New Roman" w:hAnsi="Times New Roman"/>
          <w:lang w:val="nl-NL"/>
        </w:rPr>
        <w:t>Quỹ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77C154EE" w14:textId="32EED998" w:rsidR="00274FF0" w:rsidRPr="00483A63" w:rsidRDefault="00274FF0" w:rsidP="00483A63">
      <w:pPr>
        <w:pStyle w:val="ListParagraph"/>
        <w:numPr>
          <w:ilvl w:val="1"/>
          <w:numId w:val="11"/>
        </w:numPr>
        <w:spacing w:before="120" w:after="120" w:line="240" w:lineRule="auto"/>
        <w:jc w:val="both"/>
        <w:rPr>
          <w:rFonts w:ascii="Times New Roman" w:eastAsia="Times New Roman" w:hAnsi="Times New Roman" w:cs="Times New Roman"/>
          <w:lang w:val="vi-VN"/>
        </w:rPr>
      </w:pPr>
      <w:proofErr w:type="spellStart"/>
      <w:r>
        <w:rPr>
          <w:rFonts w:ascii="Times New Roman" w:eastAsia="Times New Roman" w:hAnsi="Times New Roman"/>
        </w:rPr>
        <w:t>Doanh</w:t>
      </w:r>
      <w:proofErr w:type="spellEnd"/>
      <w:r>
        <w:rPr>
          <w:rFonts w:ascii="Times New Roman" w:eastAsia="Times New Roman" w:hAnsi="Times New Roman"/>
          <w:lang w:val="vi-VN"/>
        </w:rPr>
        <w:t xml:space="preserve"> thu</w:t>
      </w:r>
    </w:p>
    <w:p w14:paraId="32DBDD7A"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7CC5C06" w14:textId="77777777" w:rsidR="00274FF0" w:rsidRPr="00453F9E" w:rsidRDefault="00274FF0" w:rsidP="00274FF0">
      <w:pPr>
        <w:spacing w:before="120" w:after="120" w:line="360" w:lineRule="auto"/>
        <w:jc w:val="both"/>
        <w:rPr>
          <w:rFonts w:ascii="Times New Roman" w:hAnsi="Times New Roman"/>
          <w:i/>
          <w:lang w:val="nl-NL"/>
        </w:rPr>
      </w:pPr>
      <w:r w:rsidRPr="00453F9E">
        <w:rPr>
          <w:rFonts w:ascii="Times New Roman" w:hAnsi="Times New Roman"/>
          <w:i/>
          <w:lang w:val="nl-NL"/>
        </w:rPr>
        <w:t>Cổ tức</w:t>
      </w:r>
    </w:p>
    <w:p w14:paraId="35F32FB1"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Thu nhập từ cổ tức được ghi nhận khi quyền được nhận khoản cổ tức của Quỹ với tư cách là nhà đầu tư được xác lập.</w:t>
      </w:r>
    </w:p>
    <w:p w14:paraId="4D796727" w14:textId="77777777" w:rsidR="00274FF0" w:rsidRPr="00453F9E" w:rsidRDefault="00274FF0" w:rsidP="00274FF0">
      <w:pPr>
        <w:spacing w:before="120" w:after="120" w:line="360" w:lineRule="auto"/>
        <w:jc w:val="both"/>
        <w:rPr>
          <w:rFonts w:ascii="Times New Roman" w:hAnsi="Times New Roman"/>
          <w:i/>
          <w:lang w:val="nl-NL"/>
        </w:rPr>
      </w:pPr>
      <w:r w:rsidRPr="00453F9E">
        <w:rPr>
          <w:rFonts w:ascii="Times New Roman" w:hAnsi="Times New Roman"/>
          <w:i/>
          <w:lang w:val="nl-NL"/>
        </w:rPr>
        <w:t>Tiền lãi</w:t>
      </w:r>
    </w:p>
    <w:p w14:paraId="45771271"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lastRenderedPageBreak/>
        <w:t>Doanh thu được ghi nhận khi tiền lãi phát sinh trên cơ sở dồn tích (có tính đến lợi tức mà tài sản đem lại) trừ khi khả năng thu hồi tiền lãi không chắc chắn.</w:t>
      </w:r>
    </w:p>
    <w:p w14:paraId="040B59A3" w14:textId="77777777" w:rsidR="00274FF0" w:rsidRPr="00453F9E" w:rsidRDefault="00274FF0" w:rsidP="00274FF0">
      <w:pPr>
        <w:spacing w:before="120" w:after="120" w:line="360" w:lineRule="auto"/>
        <w:jc w:val="both"/>
        <w:rPr>
          <w:rFonts w:ascii="Times New Roman" w:hAnsi="Times New Roman"/>
          <w:i/>
          <w:lang w:val="nl-NL"/>
        </w:rPr>
      </w:pPr>
      <w:r w:rsidRPr="00453F9E">
        <w:rPr>
          <w:rFonts w:ascii="Times New Roman" w:hAnsi="Times New Roman"/>
          <w:i/>
          <w:lang w:val="nl-NL"/>
        </w:rPr>
        <w:t>Thu nhập từ hoạt động kinh doanh chứng khoán</w:t>
      </w:r>
    </w:p>
    <w:p w14:paraId="55FA490D" w14:textId="77777777" w:rsidR="00274FF0" w:rsidRDefault="00274FF0" w:rsidP="00274FF0">
      <w:pPr>
        <w:spacing w:before="120" w:after="120" w:line="240" w:lineRule="auto"/>
        <w:jc w:val="both"/>
        <w:rPr>
          <w:rFonts w:ascii="Times New Roman" w:hAnsi="Times New Roman"/>
          <w:bCs/>
          <w:iCs/>
          <w:spacing w:val="-2"/>
          <w:lang w:val="vi-VN"/>
        </w:rPr>
      </w:pPr>
      <w:r w:rsidRPr="00453F9E">
        <w:rPr>
          <w:rFonts w:ascii="Times New Roman" w:hAnsi="Times New Roman"/>
          <w:bCs/>
          <w:iCs/>
          <w:spacing w:val="-2"/>
          <w:lang w:val="nl-NL"/>
        </w:rPr>
        <w:t xml:space="preserve">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Giám </w:t>
      </w:r>
      <w:r>
        <w:rPr>
          <w:rFonts w:ascii="Times New Roman" w:hAnsi="Times New Roman"/>
          <w:bCs/>
          <w:iCs/>
          <w:spacing w:val="-2"/>
          <w:lang w:val="nl-NL"/>
        </w:rPr>
        <w:t>sát</w:t>
      </w:r>
      <w:r>
        <w:rPr>
          <w:rFonts w:ascii="Times New Roman" w:hAnsi="Times New Roman"/>
          <w:bCs/>
          <w:iCs/>
          <w:spacing w:val="-2"/>
          <w:lang w:val="vi-VN"/>
        </w:rPr>
        <w:t>.</w:t>
      </w:r>
    </w:p>
    <w:p w14:paraId="45B63E1E" w14:textId="4156CB94" w:rsidR="00274FF0" w:rsidRPr="00483A63" w:rsidRDefault="00274FF0" w:rsidP="00483A63">
      <w:pPr>
        <w:pStyle w:val="ListParagraph"/>
        <w:numPr>
          <w:ilvl w:val="1"/>
          <w:numId w:val="11"/>
        </w:numPr>
        <w:spacing w:before="120" w:after="120" w:line="240" w:lineRule="auto"/>
        <w:jc w:val="both"/>
        <w:rPr>
          <w:rFonts w:ascii="Times New Roman" w:eastAsia="Times New Roman" w:hAnsi="Times New Roman" w:cs="Times New Roman"/>
          <w:lang w:val="vi-VN"/>
        </w:rPr>
      </w:pPr>
      <w:r w:rsidRPr="00483A63">
        <w:rPr>
          <w:rFonts w:ascii="Times New Roman" w:eastAsia="Times New Roman" w:hAnsi="Times New Roman"/>
        </w:rPr>
        <w:t xml:space="preserve">Chi </w:t>
      </w:r>
      <w:proofErr w:type="spellStart"/>
      <w:r w:rsidRPr="00483A63">
        <w:rPr>
          <w:rFonts w:ascii="Times New Roman" w:eastAsia="Times New Roman" w:hAnsi="Times New Roman"/>
        </w:rPr>
        <w:t>phí</w:t>
      </w:r>
      <w:proofErr w:type="spellEnd"/>
    </w:p>
    <w:p w14:paraId="21C4714C" w14:textId="2391696C" w:rsidR="0028623E" w:rsidRDefault="00274FF0" w:rsidP="009F4CB2">
      <w:pPr>
        <w:spacing w:before="120" w:after="120" w:line="240" w:lineRule="auto"/>
        <w:jc w:val="both"/>
        <w:rPr>
          <w:rFonts w:ascii="Times New Roman" w:hAnsi="Times New Roman"/>
          <w:bCs/>
          <w:iCs/>
          <w:lang w:val="nl-NL"/>
        </w:rPr>
      </w:pPr>
      <w:r w:rsidRPr="00453F9E">
        <w:rPr>
          <w:rFonts w:ascii="Times New Roman" w:hAnsi="Times New Roman"/>
          <w:bCs/>
          <w:iCs/>
          <w:lang w:val="nl-NL"/>
        </w:rPr>
        <w:t>Chi phí được ghi nhận trên cơ sở dồn tích trong báo cáo kết quả hoạt động. Quỹ phát sinh một số chi phí chủ yếu như sau:</w:t>
      </w:r>
    </w:p>
    <w:p w14:paraId="5DCEC807" w14:textId="77777777" w:rsidR="00274FF0" w:rsidRPr="00483A63" w:rsidRDefault="00274FF0" w:rsidP="00274FF0">
      <w:pPr>
        <w:pStyle w:val="Level0"/>
        <w:tabs>
          <w:tab w:val="clear" w:pos="576"/>
          <w:tab w:val="clear" w:pos="1152"/>
          <w:tab w:val="clear" w:pos="1728"/>
          <w:tab w:val="clear" w:pos="2304"/>
        </w:tabs>
        <w:overflowPunct w:val="0"/>
        <w:autoSpaceDE w:val="0"/>
        <w:autoSpaceDN w:val="0"/>
        <w:adjustRightInd w:val="0"/>
        <w:spacing w:after="120" w:line="360" w:lineRule="auto"/>
        <w:ind w:left="0" w:firstLine="0"/>
        <w:jc w:val="both"/>
        <w:textAlignment w:val="baseline"/>
        <w:rPr>
          <w:b/>
          <w:bCs/>
          <w:i/>
          <w:sz w:val="22"/>
          <w:szCs w:val="22"/>
          <w:lang w:val="nl-NL"/>
        </w:rPr>
      </w:pPr>
      <w:r w:rsidRPr="00483A63">
        <w:rPr>
          <w:b/>
          <w:bCs/>
          <w:i/>
          <w:sz w:val="22"/>
          <w:szCs w:val="22"/>
          <w:lang w:val="nl-NL"/>
        </w:rPr>
        <w:t>Phí quản lý quỹ phải trả cho Công ty Quản lý Quỹ</w:t>
      </w:r>
    </w:p>
    <w:p w14:paraId="60DC8C48" w14:textId="50F91832" w:rsidR="00274FF0" w:rsidRPr="00483A63" w:rsidRDefault="00274FF0" w:rsidP="00483A63">
      <w:pPr>
        <w:pStyle w:val="ListParagraph"/>
        <w:numPr>
          <w:ilvl w:val="0"/>
          <w:numId w:val="21"/>
        </w:numPr>
        <w:spacing w:before="120" w:after="120" w:line="360" w:lineRule="auto"/>
        <w:jc w:val="both"/>
        <w:rPr>
          <w:rFonts w:ascii="Times New Roman" w:hAnsi="Times New Roman"/>
          <w:lang w:val="nl-NL"/>
        </w:rPr>
      </w:pPr>
      <w:r w:rsidRPr="00483A63">
        <w:rPr>
          <w:rFonts w:ascii="Times New Roman" w:hAnsi="Times New Roman"/>
          <w:lang w:val="nl-NL"/>
        </w:rPr>
        <w:t>Phí quản lý quỹ là 1,3% một năm tính trên giá trị tài sản ròng của Quỹ tại ngày trước ngày định giá, được ghi nhận vào chi phí của Quỹ tại mỗi kỳ định giá, và được thanh toán hàng tháng cho Công ty Quản lý Quỹ. Số phí trả hàng tháng là tổng số phí được tính và trích lập cho các kỳ định giá trong tháng.</w:t>
      </w:r>
    </w:p>
    <w:p w14:paraId="07FE9AE6" w14:textId="77777777" w:rsidR="00274FF0" w:rsidRPr="00483A63" w:rsidRDefault="00274FF0" w:rsidP="00483A63">
      <w:pPr>
        <w:pStyle w:val="ListParagraph"/>
        <w:numPr>
          <w:ilvl w:val="0"/>
          <w:numId w:val="21"/>
        </w:numPr>
        <w:spacing w:before="120" w:after="120" w:line="360" w:lineRule="auto"/>
        <w:jc w:val="both"/>
        <w:rPr>
          <w:rFonts w:ascii="Times New Roman" w:hAnsi="Times New Roman"/>
          <w:lang w:val="nl-NL"/>
        </w:rPr>
      </w:pPr>
      <w:r w:rsidRPr="00483A63">
        <w:rPr>
          <w:rFonts w:ascii="Times New Roman" w:hAnsi="Times New Roman"/>
          <w:lang w:val="nl-NL"/>
        </w:rPr>
        <w:t xml:space="preserve">Phí quản lý quỹ được tính theo công thức như sau: </w:t>
      </w: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4950"/>
      </w:tblGrid>
      <w:tr w:rsidR="00D96D22" w:rsidRPr="00752E19" w14:paraId="611AF2EA" w14:textId="77777777" w:rsidTr="00B55FE8">
        <w:tc>
          <w:tcPr>
            <w:tcW w:w="4140" w:type="dxa"/>
            <w:vMerge w:val="restart"/>
            <w:vAlign w:val="center"/>
          </w:tcPr>
          <w:p w14:paraId="3112A8AE" w14:textId="77777777" w:rsidR="00D96D22" w:rsidRPr="00752E19" w:rsidRDefault="00D96D22" w:rsidP="00B55FE8">
            <w:pPr>
              <w:pStyle w:val="NormalWeb"/>
              <w:spacing w:before="120" w:beforeAutospacing="0" w:after="120" w:afterAutospacing="0"/>
              <w:ind w:hanging="19"/>
              <w:rPr>
                <w:i/>
                <w:sz w:val="22"/>
                <w:szCs w:val="22"/>
                <w:lang w:val="vi-VN"/>
              </w:rPr>
            </w:pPr>
            <w:r w:rsidRPr="00752E19">
              <w:rPr>
                <w:i/>
                <w:sz w:val="22"/>
                <w:szCs w:val="22"/>
                <w:lang w:val="vi-VN"/>
              </w:rPr>
              <w:t>Giá dịch vụ Quản Lý Quỹ</w:t>
            </w:r>
            <w:r w:rsidRPr="00752E19">
              <w:rPr>
                <w:i/>
                <w:sz w:val="22"/>
                <w:szCs w:val="22"/>
              </w:rPr>
              <w:t xml:space="preserve"> </w:t>
            </w:r>
            <w:proofErr w:type="spellStart"/>
            <w:r w:rsidRPr="00752E19">
              <w:rPr>
                <w:i/>
                <w:sz w:val="22"/>
                <w:szCs w:val="22"/>
              </w:rPr>
              <w:t>của</w:t>
            </w:r>
            <w:proofErr w:type="spellEnd"/>
            <w:r w:rsidRPr="00752E19">
              <w:rPr>
                <w:i/>
                <w:sz w:val="22"/>
                <w:szCs w:val="22"/>
              </w:rPr>
              <w:t xml:space="preserve"> </w:t>
            </w:r>
            <w:proofErr w:type="spellStart"/>
            <w:r w:rsidRPr="00752E19">
              <w:rPr>
                <w:i/>
                <w:sz w:val="22"/>
                <w:szCs w:val="22"/>
              </w:rPr>
              <w:t>kỳ</w:t>
            </w:r>
            <w:proofErr w:type="spellEnd"/>
            <w:r w:rsidRPr="00752E19">
              <w:rPr>
                <w:i/>
                <w:sz w:val="22"/>
                <w:szCs w:val="22"/>
              </w:rPr>
              <w:t xml:space="preserve"> </w:t>
            </w:r>
            <w:proofErr w:type="spellStart"/>
            <w:r w:rsidRPr="00752E19">
              <w:rPr>
                <w:i/>
                <w:sz w:val="22"/>
                <w:szCs w:val="22"/>
              </w:rPr>
              <w:t>định</w:t>
            </w:r>
            <w:proofErr w:type="spellEnd"/>
            <w:r w:rsidRPr="00752E19">
              <w:rPr>
                <w:i/>
                <w:sz w:val="22"/>
                <w:szCs w:val="22"/>
              </w:rPr>
              <w:t xml:space="preserve"> </w:t>
            </w:r>
            <w:proofErr w:type="spellStart"/>
            <w:r w:rsidRPr="00752E19">
              <w:rPr>
                <w:i/>
                <w:sz w:val="22"/>
                <w:szCs w:val="22"/>
              </w:rPr>
              <w:t>giá</w:t>
            </w:r>
            <w:proofErr w:type="spellEnd"/>
            <w:r w:rsidRPr="00752E19">
              <w:rPr>
                <w:i/>
                <w:sz w:val="22"/>
                <w:szCs w:val="22"/>
                <w:lang w:val="vi-VN"/>
              </w:rPr>
              <w:t xml:space="preserve"> </w:t>
            </w:r>
            <w:r w:rsidRPr="00752E19">
              <w:rPr>
                <w:i/>
                <w:sz w:val="22"/>
                <w:szCs w:val="22"/>
              </w:rPr>
              <w:t xml:space="preserve"> </w:t>
            </w:r>
            <w:r w:rsidRPr="00752E19">
              <w:rPr>
                <w:i/>
                <w:sz w:val="22"/>
                <w:szCs w:val="22"/>
                <w:lang w:val="vi-VN"/>
              </w:rPr>
              <w:t>=</w:t>
            </w:r>
          </w:p>
        </w:tc>
        <w:tc>
          <w:tcPr>
            <w:tcW w:w="4950" w:type="dxa"/>
            <w:tcBorders>
              <w:bottom w:val="single" w:sz="4" w:space="0" w:color="68737A"/>
            </w:tcBorders>
            <w:vAlign w:val="center"/>
          </w:tcPr>
          <w:p w14:paraId="33DDDAAD" w14:textId="77777777" w:rsidR="00D96D22" w:rsidRPr="00752E19" w:rsidRDefault="00D96D22" w:rsidP="00B55FE8">
            <w:pPr>
              <w:pStyle w:val="NormalWeb"/>
              <w:spacing w:before="120" w:beforeAutospacing="0" w:after="120" w:afterAutospacing="0"/>
              <w:ind w:hanging="180"/>
              <w:jc w:val="center"/>
              <w:rPr>
                <w:i/>
                <w:sz w:val="22"/>
                <w:szCs w:val="22"/>
                <w:lang w:val="vi-VN"/>
              </w:rPr>
            </w:pPr>
            <w:r w:rsidRPr="00752E19">
              <w:rPr>
                <w:i/>
                <w:sz w:val="22"/>
                <w:szCs w:val="22"/>
              </w:rPr>
              <w:t>1,3% x</w:t>
            </w:r>
            <w:r w:rsidRPr="00752E19">
              <w:rPr>
                <w:i/>
                <w:sz w:val="22"/>
                <w:szCs w:val="22"/>
                <w:lang w:val="vi-VN"/>
              </w:rPr>
              <w:t xml:space="preserve"> </w:t>
            </w:r>
            <w:r w:rsidRPr="00752E19">
              <w:rPr>
                <w:i/>
                <w:sz w:val="22"/>
                <w:szCs w:val="22"/>
              </w:rPr>
              <w:t xml:space="preserve">GTTSR </w:t>
            </w:r>
            <w:r w:rsidRPr="00752E19">
              <w:rPr>
                <w:i/>
                <w:sz w:val="22"/>
                <w:szCs w:val="22"/>
                <w:lang w:val="vi-VN"/>
              </w:rPr>
              <w:t xml:space="preserve">x Số ngày thực tế </w:t>
            </w:r>
            <w:proofErr w:type="spellStart"/>
            <w:r w:rsidRPr="00752E19">
              <w:rPr>
                <w:i/>
                <w:sz w:val="22"/>
                <w:szCs w:val="22"/>
              </w:rPr>
              <w:t>trong</w:t>
            </w:r>
            <w:proofErr w:type="spellEnd"/>
            <w:r w:rsidRPr="00752E19">
              <w:rPr>
                <w:i/>
                <w:sz w:val="22"/>
                <w:szCs w:val="22"/>
              </w:rPr>
              <w:t xml:space="preserve"> </w:t>
            </w:r>
            <w:proofErr w:type="spellStart"/>
            <w:r w:rsidRPr="00752E19">
              <w:rPr>
                <w:i/>
                <w:sz w:val="22"/>
                <w:szCs w:val="22"/>
              </w:rPr>
              <w:t>kỳ</w:t>
            </w:r>
            <w:proofErr w:type="spellEnd"/>
            <w:r w:rsidRPr="00752E19">
              <w:rPr>
                <w:i/>
                <w:sz w:val="22"/>
                <w:szCs w:val="22"/>
              </w:rPr>
              <w:t xml:space="preserve"> </w:t>
            </w:r>
            <w:proofErr w:type="spellStart"/>
            <w:r w:rsidRPr="00752E19">
              <w:rPr>
                <w:i/>
                <w:sz w:val="22"/>
                <w:szCs w:val="22"/>
              </w:rPr>
              <w:t>định</w:t>
            </w:r>
            <w:proofErr w:type="spellEnd"/>
            <w:r w:rsidRPr="00752E19">
              <w:rPr>
                <w:i/>
                <w:sz w:val="22"/>
                <w:szCs w:val="22"/>
              </w:rPr>
              <w:t xml:space="preserve"> </w:t>
            </w:r>
            <w:proofErr w:type="spellStart"/>
            <w:r w:rsidRPr="00752E19">
              <w:rPr>
                <w:i/>
                <w:sz w:val="22"/>
                <w:szCs w:val="22"/>
              </w:rPr>
              <w:t>giá</w:t>
            </w:r>
            <w:proofErr w:type="spellEnd"/>
          </w:p>
        </w:tc>
      </w:tr>
      <w:tr w:rsidR="00D96D22" w:rsidRPr="00752E19" w14:paraId="0919776E" w14:textId="77777777" w:rsidTr="00B55FE8">
        <w:tc>
          <w:tcPr>
            <w:tcW w:w="4140" w:type="dxa"/>
            <w:vMerge/>
            <w:vAlign w:val="center"/>
          </w:tcPr>
          <w:p w14:paraId="61E5F391" w14:textId="77777777" w:rsidR="00D96D22" w:rsidRPr="00752E19" w:rsidRDefault="00D96D22" w:rsidP="00B55FE8">
            <w:pPr>
              <w:pStyle w:val="NormalWeb"/>
              <w:spacing w:before="120" w:beforeAutospacing="0" w:after="120" w:afterAutospacing="0"/>
              <w:ind w:hanging="180"/>
              <w:rPr>
                <w:i/>
                <w:sz w:val="22"/>
                <w:szCs w:val="22"/>
                <w:lang w:val="vi-VN"/>
              </w:rPr>
            </w:pPr>
          </w:p>
        </w:tc>
        <w:tc>
          <w:tcPr>
            <w:tcW w:w="4950" w:type="dxa"/>
            <w:tcBorders>
              <w:top w:val="single" w:sz="4" w:space="0" w:color="68737A"/>
            </w:tcBorders>
            <w:vAlign w:val="center"/>
          </w:tcPr>
          <w:p w14:paraId="4DBDE57B" w14:textId="77777777" w:rsidR="00D96D22" w:rsidRPr="00752E19" w:rsidRDefault="00D96D22" w:rsidP="00B55FE8">
            <w:pPr>
              <w:pStyle w:val="NormalWeb"/>
              <w:spacing w:before="120" w:beforeAutospacing="0" w:after="120" w:afterAutospacing="0"/>
              <w:ind w:hanging="180"/>
              <w:jc w:val="center"/>
              <w:rPr>
                <w:i/>
                <w:sz w:val="22"/>
                <w:szCs w:val="22"/>
              </w:rPr>
            </w:pPr>
            <w:r w:rsidRPr="00752E19">
              <w:rPr>
                <w:i/>
                <w:sz w:val="22"/>
                <w:szCs w:val="22"/>
              </w:rPr>
              <w:t>365 (</w:t>
            </w:r>
            <w:proofErr w:type="spellStart"/>
            <w:r w:rsidRPr="00752E19">
              <w:rPr>
                <w:i/>
                <w:sz w:val="22"/>
                <w:szCs w:val="22"/>
              </w:rPr>
              <w:t>hoặc</w:t>
            </w:r>
            <w:proofErr w:type="spellEnd"/>
            <w:r w:rsidRPr="00752E19">
              <w:rPr>
                <w:i/>
                <w:sz w:val="22"/>
                <w:szCs w:val="22"/>
              </w:rPr>
              <w:t xml:space="preserve"> 366)</w:t>
            </w:r>
          </w:p>
        </w:tc>
      </w:tr>
    </w:tbl>
    <w:p w14:paraId="767C9C07" w14:textId="29AD3C4B" w:rsidR="00D96D22" w:rsidRPr="00483A63" w:rsidRDefault="00D96D22" w:rsidP="00483A63">
      <w:pPr>
        <w:pStyle w:val="ListParagraph"/>
        <w:spacing w:before="120" w:after="120" w:line="360" w:lineRule="auto"/>
        <w:jc w:val="both"/>
        <w:rPr>
          <w:rFonts w:ascii="Times New Roman" w:hAnsi="Times New Roman"/>
          <w:lang w:val="nl-NL"/>
        </w:rPr>
      </w:pPr>
      <w:r w:rsidRPr="00483A63">
        <w:rPr>
          <w:rFonts w:ascii="Times New Roman" w:hAnsi="Times New Roman"/>
          <w:lang w:val="nl-NL"/>
        </w:rPr>
        <w:t>Trong đó GTTSR là Giá Trị Tài Sản Ròng được xác định vào Ngày Định Giá.</w:t>
      </w:r>
    </w:p>
    <w:p w14:paraId="1C1A0297" w14:textId="01E2CE0B" w:rsidR="00274FF0" w:rsidRPr="00483A63" w:rsidRDefault="00274FF0" w:rsidP="00274FF0">
      <w:pPr>
        <w:spacing w:before="120" w:after="120" w:line="360" w:lineRule="auto"/>
        <w:jc w:val="both"/>
        <w:rPr>
          <w:rFonts w:ascii="Times New Roman" w:hAnsi="Times New Roman"/>
          <w:b/>
          <w:bCs/>
          <w:i/>
          <w:lang w:val="nl-NL"/>
        </w:rPr>
      </w:pPr>
      <w:r w:rsidRPr="00483A63">
        <w:rPr>
          <w:rFonts w:ascii="Times New Roman" w:hAnsi="Times New Roman"/>
          <w:b/>
          <w:bCs/>
          <w:i/>
          <w:lang w:val="nl-NL"/>
        </w:rPr>
        <w:t xml:space="preserve">Phí </w:t>
      </w:r>
      <w:r w:rsidR="00D96D22" w:rsidRPr="00483A63">
        <w:rPr>
          <w:rFonts w:ascii="Times New Roman" w:hAnsi="Times New Roman"/>
          <w:b/>
          <w:bCs/>
          <w:i/>
          <w:lang w:val="nl-NL"/>
        </w:rPr>
        <w:t>lưu</w:t>
      </w:r>
      <w:r w:rsidR="00D96D22" w:rsidRPr="00483A63">
        <w:rPr>
          <w:rFonts w:ascii="Times New Roman" w:hAnsi="Times New Roman"/>
          <w:b/>
          <w:bCs/>
          <w:i/>
          <w:lang w:val="vi-VN"/>
        </w:rPr>
        <w:t xml:space="preserve"> ký </w:t>
      </w:r>
      <w:r w:rsidRPr="00483A63">
        <w:rPr>
          <w:rFonts w:ascii="Times New Roman" w:hAnsi="Times New Roman"/>
          <w:b/>
          <w:bCs/>
          <w:i/>
          <w:lang w:val="nl-NL"/>
        </w:rPr>
        <w:t>- Ngân hàng TNHH một thành viên Standard Chartered (Việt Nam)</w:t>
      </w:r>
    </w:p>
    <w:p w14:paraId="092556B2" w14:textId="0AE0CCEC" w:rsidR="00D96D22" w:rsidRPr="00483A63" w:rsidRDefault="00D96D22" w:rsidP="00483A63">
      <w:pPr>
        <w:spacing w:before="120" w:after="120" w:line="240" w:lineRule="auto"/>
        <w:jc w:val="both"/>
        <w:rPr>
          <w:rFonts w:ascii="Times New Roman" w:hAnsi="Times New Roman"/>
          <w:lang w:val="nl-NL"/>
        </w:rPr>
      </w:pPr>
      <w:r w:rsidRPr="00483A63">
        <w:rPr>
          <w:rFonts w:ascii="Times New Roman" w:hAnsi="Times New Roman"/>
          <w:lang w:val="nl-NL"/>
        </w:rPr>
        <w:t>Giá dịch vụ Lưu ký được tính trên tỷ lệ phần trăm Giá Trị Tài Sản Ròng (“GTTSR”) của Quỹ. Cụ thể như sau:</w:t>
      </w:r>
    </w:p>
    <w:tbl>
      <w:tblPr>
        <w:tblStyle w:val="TableGrid"/>
        <w:tblW w:w="0" w:type="auto"/>
        <w:tblInd w:w="699" w:type="dxa"/>
        <w:tblLook w:val="04A0" w:firstRow="1" w:lastRow="0" w:firstColumn="1" w:lastColumn="0" w:noHBand="0" w:noVBand="1"/>
      </w:tblPr>
      <w:tblGrid>
        <w:gridCol w:w="4315"/>
        <w:gridCol w:w="4190"/>
      </w:tblGrid>
      <w:tr w:rsidR="00D96D22" w:rsidRPr="00D96D22" w14:paraId="74E755D2" w14:textId="77777777" w:rsidTr="00483A63">
        <w:trPr>
          <w:trHeight w:val="351"/>
        </w:trPr>
        <w:tc>
          <w:tcPr>
            <w:tcW w:w="4315" w:type="dxa"/>
          </w:tcPr>
          <w:p w14:paraId="71EC3536" w14:textId="77777777" w:rsidR="00D96D22" w:rsidRPr="00483A63" w:rsidRDefault="00D96D22" w:rsidP="00B55FE8">
            <w:pPr>
              <w:pStyle w:val="CommentText"/>
              <w:jc w:val="both"/>
              <w:rPr>
                <w:rFonts w:ascii="Times New Roman" w:hAnsi="Times New Roman"/>
                <w:b/>
                <w:bCs/>
                <w:sz w:val="22"/>
                <w:szCs w:val="22"/>
                <w:lang w:val="nl-NL"/>
              </w:rPr>
            </w:pPr>
            <w:r w:rsidRPr="00483A63">
              <w:rPr>
                <w:rFonts w:ascii="Times New Roman" w:hAnsi="Times New Roman"/>
                <w:b/>
                <w:bCs/>
                <w:sz w:val="22"/>
                <w:szCs w:val="22"/>
                <w:lang w:val="nl-NL"/>
              </w:rPr>
              <w:t xml:space="preserve">Quy mô </w:t>
            </w:r>
            <w:r w:rsidRPr="00483A63" w:rsidDel="00DD108B">
              <w:rPr>
                <w:rFonts w:ascii="Times New Roman" w:hAnsi="Times New Roman"/>
                <w:b/>
                <w:bCs/>
                <w:sz w:val="22"/>
                <w:szCs w:val="22"/>
                <w:lang w:val="nl-NL"/>
              </w:rPr>
              <w:t>Quỹ</w:t>
            </w:r>
          </w:p>
        </w:tc>
        <w:tc>
          <w:tcPr>
            <w:tcW w:w="4190" w:type="dxa"/>
          </w:tcPr>
          <w:p w14:paraId="0DC25FF1" w14:textId="77777777" w:rsidR="00D96D22" w:rsidRPr="00483A63" w:rsidRDefault="00D96D22" w:rsidP="00B55FE8">
            <w:pPr>
              <w:pStyle w:val="CommentText"/>
              <w:jc w:val="both"/>
              <w:rPr>
                <w:rFonts w:ascii="Times New Roman" w:hAnsi="Times New Roman"/>
                <w:b/>
                <w:bCs/>
                <w:sz w:val="22"/>
                <w:szCs w:val="22"/>
                <w:lang w:val="nl-NL"/>
              </w:rPr>
            </w:pPr>
            <w:r w:rsidRPr="00483A63">
              <w:rPr>
                <w:rFonts w:ascii="Times New Roman" w:hAnsi="Times New Roman"/>
                <w:b/>
                <w:bCs/>
                <w:sz w:val="22"/>
                <w:szCs w:val="22"/>
                <w:lang w:val="nl-NL"/>
              </w:rPr>
              <w:t>Giá Dịch vụ Lưu Ký (trên GTTSR)</w:t>
            </w:r>
          </w:p>
        </w:tc>
      </w:tr>
      <w:tr w:rsidR="00D96D22" w:rsidRPr="00D96D22" w14:paraId="3D499C58" w14:textId="77777777" w:rsidTr="00483A63">
        <w:trPr>
          <w:trHeight w:val="270"/>
        </w:trPr>
        <w:tc>
          <w:tcPr>
            <w:tcW w:w="4315" w:type="dxa"/>
          </w:tcPr>
          <w:p w14:paraId="69D45F1C" w14:textId="77777777" w:rsidR="00D96D22" w:rsidRPr="00483A63" w:rsidRDefault="00D96D22" w:rsidP="00B55FE8">
            <w:pPr>
              <w:pStyle w:val="CommentText"/>
              <w:jc w:val="both"/>
              <w:rPr>
                <w:rFonts w:ascii="Times New Roman" w:hAnsi="Times New Roman"/>
                <w:sz w:val="22"/>
                <w:szCs w:val="22"/>
                <w:lang w:val="nl-NL"/>
              </w:rPr>
            </w:pPr>
            <w:r w:rsidRPr="00483A63">
              <w:rPr>
                <w:rFonts w:ascii="Times New Roman" w:hAnsi="Times New Roman"/>
                <w:sz w:val="22"/>
                <w:szCs w:val="22"/>
                <w:lang w:val="nl-NL"/>
              </w:rPr>
              <w:t>Dưới 1.000 tỷ đồng</w:t>
            </w:r>
          </w:p>
        </w:tc>
        <w:tc>
          <w:tcPr>
            <w:tcW w:w="4190" w:type="dxa"/>
          </w:tcPr>
          <w:p w14:paraId="13519EE6" w14:textId="77777777" w:rsidR="00D96D22" w:rsidRPr="00483A63" w:rsidRDefault="00D96D22" w:rsidP="00B55FE8">
            <w:pPr>
              <w:pStyle w:val="CommentText"/>
              <w:jc w:val="both"/>
              <w:rPr>
                <w:rFonts w:ascii="Times New Roman" w:hAnsi="Times New Roman"/>
                <w:sz w:val="22"/>
                <w:szCs w:val="22"/>
                <w:lang w:val="nl-NL"/>
              </w:rPr>
            </w:pPr>
            <w:r w:rsidRPr="00483A63">
              <w:rPr>
                <w:rFonts w:ascii="Times New Roman" w:hAnsi="Times New Roman"/>
                <w:sz w:val="22"/>
                <w:szCs w:val="22"/>
                <w:lang w:val="nl-NL"/>
              </w:rPr>
              <w:t>0,045% một năm</w:t>
            </w:r>
          </w:p>
        </w:tc>
      </w:tr>
      <w:tr w:rsidR="00D96D22" w:rsidRPr="00D96D22" w14:paraId="5D869F5F" w14:textId="77777777" w:rsidTr="00483A63">
        <w:trPr>
          <w:trHeight w:val="275"/>
        </w:trPr>
        <w:tc>
          <w:tcPr>
            <w:tcW w:w="4315" w:type="dxa"/>
          </w:tcPr>
          <w:p w14:paraId="4BFFBE0D" w14:textId="77777777" w:rsidR="00D96D22" w:rsidRPr="00483A63" w:rsidRDefault="00D96D22" w:rsidP="00B55FE8">
            <w:pPr>
              <w:pStyle w:val="CommentText"/>
              <w:jc w:val="both"/>
              <w:rPr>
                <w:rFonts w:ascii="Times New Roman" w:hAnsi="Times New Roman"/>
                <w:sz w:val="22"/>
                <w:szCs w:val="22"/>
                <w:lang w:val="nl-NL"/>
              </w:rPr>
            </w:pPr>
            <w:r w:rsidRPr="00483A63">
              <w:rPr>
                <w:rFonts w:ascii="Times New Roman" w:hAnsi="Times New Roman"/>
                <w:sz w:val="22"/>
                <w:szCs w:val="22"/>
                <w:lang w:val="nl-NL"/>
              </w:rPr>
              <w:t>Từ 1.000 tỷ đồng đến 4.600 tỷ đồng</w:t>
            </w:r>
          </w:p>
        </w:tc>
        <w:tc>
          <w:tcPr>
            <w:tcW w:w="4190" w:type="dxa"/>
          </w:tcPr>
          <w:p w14:paraId="2D2AC9A6" w14:textId="77777777" w:rsidR="00D96D22" w:rsidRPr="00483A63" w:rsidRDefault="00D96D22" w:rsidP="00B55FE8">
            <w:pPr>
              <w:pStyle w:val="CommentText"/>
              <w:jc w:val="both"/>
              <w:rPr>
                <w:rFonts w:ascii="Times New Roman" w:hAnsi="Times New Roman"/>
                <w:sz w:val="22"/>
                <w:szCs w:val="22"/>
                <w:lang w:val="nl-NL"/>
              </w:rPr>
            </w:pPr>
            <w:r w:rsidRPr="00483A63">
              <w:rPr>
                <w:rFonts w:ascii="Times New Roman" w:hAnsi="Times New Roman"/>
                <w:sz w:val="22"/>
                <w:szCs w:val="22"/>
                <w:lang w:val="nl-NL"/>
              </w:rPr>
              <w:t>0,0425% một năm</w:t>
            </w:r>
          </w:p>
        </w:tc>
      </w:tr>
      <w:tr w:rsidR="00D96D22" w:rsidRPr="00D96D22" w14:paraId="403E095A" w14:textId="77777777" w:rsidTr="00483A63">
        <w:trPr>
          <w:trHeight w:val="278"/>
        </w:trPr>
        <w:tc>
          <w:tcPr>
            <w:tcW w:w="4315" w:type="dxa"/>
          </w:tcPr>
          <w:p w14:paraId="109CF6F3" w14:textId="77777777" w:rsidR="00D96D22" w:rsidRPr="00483A63" w:rsidRDefault="00D96D22" w:rsidP="00B55FE8">
            <w:pPr>
              <w:pStyle w:val="CommentText"/>
              <w:jc w:val="both"/>
              <w:rPr>
                <w:rFonts w:ascii="Times New Roman" w:hAnsi="Times New Roman"/>
                <w:sz w:val="22"/>
                <w:szCs w:val="22"/>
                <w:lang w:val="nl-NL"/>
              </w:rPr>
            </w:pPr>
            <w:r w:rsidRPr="00483A63">
              <w:rPr>
                <w:rFonts w:ascii="Times New Roman" w:hAnsi="Times New Roman"/>
                <w:sz w:val="22"/>
                <w:szCs w:val="22"/>
                <w:lang w:val="nl-NL"/>
              </w:rPr>
              <w:t>Trên 4.600 tỷ đồng</w:t>
            </w:r>
          </w:p>
        </w:tc>
        <w:tc>
          <w:tcPr>
            <w:tcW w:w="4190" w:type="dxa"/>
          </w:tcPr>
          <w:p w14:paraId="70BA9048" w14:textId="77777777" w:rsidR="00D96D22" w:rsidRPr="00483A63" w:rsidRDefault="00D96D22" w:rsidP="00B55FE8">
            <w:pPr>
              <w:pStyle w:val="CommentText"/>
              <w:jc w:val="both"/>
              <w:rPr>
                <w:rFonts w:ascii="Times New Roman" w:hAnsi="Times New Roman"/>
                <w:sz w:val="22"/>
                <w:szCs w:val="22"/>
                <w:lang w:val="nl-NL"/>
              </w:rPr>
            </w:pPr>
            <w:r w:rsidRPr="00483A63">
              <w:rPr>
                <w:rFonts w:ascii="Times New Roman" w:hAnsi="Times New Roman"/>
                <w:sz w:val="22"/>
                <w:szCs w:val="22"/>
                <w:lang w:val="nl-NL"/>
              </w:rPr>
              <w:t>0,0375% một năm</w:t>
            </w:r>
          </w:p>
        </w:tc>
      </w:tr>
    </w:tbl>
    <w:p w14:paraId="6A00CF9D" w14:textId="77777777" w:rsidR="00D96D22" w:rsidRPr="00483A63" w:rsidRDefault="00D96D22" w:rsidP="00483A63">
      <w:pPr>
        <w:pStyle w:val="ListParagraph"/>
        <w:numPr>
          <w:ilvl w:val="0"/>
          <w:numId w:val="19"/>
        </w:numPr>
        <w:spacing w:before="120" w:after="120" w:line="240" w:lineRule="auto"/>
        <w:jc w:val="both"/>
        <w:rPr>
          <w:rFonts w:ascii="Times New Roman" w:hAnsi="Times New Roman"/>
          <w:lang w:val="nl-NL"/>
        </w:rPr>
      </w:pPr>
      <w:r w:rsidRPr="00483A63">
        <w:rPr>
          <w:rFonts w:ascii="Times New Roman" w:hAnsi="Times New Roman"/>
          <w:lang w:val="nl-NL"/>
        </w:rPr>
        <w:t>Giá dịch vụ Lưu ký tối thiểu là 11,5 triệu đồng/tháng.</w:t>
      </w:r>
    </w:p>
    <w:p w14:paraId="3C29AE06" w14:textId="77777777" w:rsidR="00D96D22" w:rsidRPr="00483A63" w:rsidRDefault="00D96D22" w:rsidP="00483A63">
      <w:pPr>
        <w:pStyle w:val="ListParagraph"/>
        <w:numPr>
          <w:ilvl w:val="0"/>
          <w:numId w:val="19"/>
        </w:numPr>
        <w:spacing w:before="120" w:after="120" w:line="240" w:lineRule="auto"/>
        <w:jc w:val="both"/>
        <w:rPr>
          <w:rFonts w:ascii="Times New Roman" w:hAnsi="Times New Roman"/>
          <w:lang w:val="nl-NL"/>
        </w:rPr>
      </w:pPr>
      <w:bookmarkStart w:id="2" w:name="_Hlk164075457"/>
      <w:r w:rsidRPr="00483A63">
        <w:rPr>
          <w:rFonts w:ascii="Times New Roman" w:hAnsi="Times New Roman"/>
          <w:lang w:val="nl-NL"/>
        </w:rPr>
        <w:t xml:space="preserve">Mức giá dịch vụ này chưa bao gồm phí giao dịch chứng khoán là 150.000 đồng/giao dịch và các chi phí thông thường như chi phí thanh toán cho Trung tâm lưu ký, chi phí sửa đổi/hủy bỏ giao dịch, phí giao dịch lô lẻ, phí đăng ký cổ phiếu từ chưa niêm yết sang niêm yết, hay từ trái phiếu chuyển đổi sang cổ phiếu, vv… </w:t>
      </w:r>
    </w:p>
    <w:bookmarkEnd w:id="2"/>
    <w:p w14:paraId="1A2CA5BF" w14:textId="5C7202B5" w:rsidR="00D96D22" w:rsidRDefault="00D96D22" w:rsidP="00D96D22">
      <w:pPr>
        <w:pStyle w:val="ListParagraph"/>
        <w:numPr>
          <w:ilvl w:val="0"/>
          <w:numId w:val="19"/>
        </w:numPr>
        <w:spacing w:before="120" w:after="120" w:line="240" w:lineRule="auto"/>
        <w:rPr>
          <w:rFonts w:ascii="Times New Roman" w:hAnsi="Times New Roman"/>
          <w:lang w:val="nl-NL"/>
        </w:rPr>
      </w:pPr>
      <w:r w:rsidRPr="00483A63">
        <w:rPr>
          <w:rFonts w:ascii="Times New Roman" w:hAnsi="Times New Roman"/>
          <w:lang w:val="nl-NL"/>
        </w:rPr>
        <w:t xml:space="preserve">Giá dịch vụ lưu ký trả hàng tháng là tổng số giá được tính (trích lập) tại các Ngày Định Giá </w:t>
      </w:r>
      <w:r>
        <w:rPr>
          <w:rFonts w:ascii="Times New Roman" w:hAnsi="Times New Roman"/>
          <w:lang w:val="nl-NL"/>
        </w:rPr>
        <w:t>thực</w:t>
      </w:r>
      <w:r w:rsidRPr="00483A63">
        <w:rPr>
          <w:rFonts w:ascii="Times New Roman" w:hAnsi="Times New Roman"/>
          <w:lang w:val="nl-NL"/>
        </w:rPr>
        <w:t xml:space="preserve"> hiện trong tháng.</w:t>
      </w:r>
    </w:p>
    <w:p w14:paraId="72414D73" w14:textId="65DF7FCD" w:rsidR="00D96D22" w:rsidRPr="00483A63" w:rsidRDefault="00D96D22" w:rsidP="00483A63">
      <w:pPr>
        <w:spacing w:before="120" w:after="120" w:line="240" w:lineRule="auto"/>
        <w:rPr>
          <w:rFonts w:ascii="Times New Roman" w:hAnsi="Times New Roman"/>
          <w:b/>
          <w:bCs/>
          <w:lang w:val="nl-NL"/>
        </w:rPr>
      </w:pPr>
      <w:r w:rsidRPr="00483A63">
        <w:rPr>
          <w:rFonts w:ascii="Times New Roman" w:hAnsi="Times New Roman"/>
          <w:b/>
          <w:bCs/>
          <w:i/>
          <w:lang w:val="nl-NL"/>
        </w:rPr>
        <w:t>Phí giám sát - Ngân hàng TNHH một thành viên Standard Chartered (Việt Nam)</w:t>
      </w:r>
    </w:p>
    <w:p w14:paraId="5D465C1A" w14:textId="36112605" w:rsidR="00274FF0" w:rsidRDefault="00D96D22" w:rsidP="00274FF0">
      <w:pPr>
        <w:spacing w:before="120" w:after="120" w:line="240" w:lineRule="auto"/>
        <w:jc w:val="both"/>
        <w:rPr>
          <w:rFonts w:ascii="Times New Roman" w:hAnsi="Times New Roman"/>
          <w:lang w:val="nl-NL"/>
        </w:rPr>
      </w:pPr>
      <w:r w:rsidRPr="00D96D22">
        <w:rPr>
          <w:rFonts w:ascii="Times New Roman" w:hAnsi="Times New Roman"/>
          <w:lang w:val="nl-NL"/>
        </w:rPr>
        <w:t xml:space="preserve">Giá </w:t>
      </w:r>
      <w:r>
        <w:rPr>
          <w:rFonts w:ascii="Times New Roman" w:hAnsi="Times New Roman"/>
          <w:lang w:val="nl-NL"/>
        </w:rPr>
        <w:t>d</w:t>
      </w:r>
      <w:r w:rsidRPr="00D96D22">
        <w:rPr>
          <w:rFonts w:ascii="Times New Roman" w:hAnsi="Times New Roman"/>
          <w:lang w:val="nl-NL"/>
        </w:rPr>
        <w:t>ịch vụ Giám sát: được tính trên tỷ lệ phần trăm Giá Trị Tài Sản Ròng (“GTTSR”) của Quỹ. Đối với tần suất định giá hai lần một tuần, Giá Dịch vụ Giám sát cụ thể như sau:</w:t>
      </w:r>
    </w:p>
    <w:tbl>
      <w:tblPr>
        <w:tblStyle w:val="TableGrid"/>
        <w:tblW w:w="0" w:type="auto"/>
        <w:tblInd w:w="865" w:type="dxa"/>
        <w:tblLook w:val="04A0" w:firstRow="1" w:lastRow="0" w:firstColumn="1" w:lastColumn="0" w:noHBand="0" w:noVBand="1"/>
      </w:tblPr>
      <w:tblGrid>
        <w:gridCol w:w="3837"/>
        <w:gridCol w:w="4503"/>
      </w:tblGrid>
      <w:tr w:rsidR="00D96D22" w:rsidRPr="00752E19" w14:paraId="5086BA76" w14:textId="77777777" w:rsidTr="00D96D22">
        <w:tc>
          <w:tcPr>
            <w:tcW w:w="3837" w:type="dxa"/>
          </w:tcPr>
          <w:p w14:paraId="66EA2C83" w14:textId="77777777" w:rsidR="00D96D22" w:rsidRPr="00752E19" w:rsidRDefault="00D96D22" w:rsidP="00B55FE8">
            <w:pPr>
              <w:pStyle w:val="CommentText"/>
              <w:jc w:val="both"/>
              <w:rPr>
                <w:rFonts w:ascii="Times New Roman" w:eastAsia="Times New Roman" w:hAnsi="Times New Roman"/>
                <w:b/>
                <w:bCs/>
                <w:sz w:val="24"/>
                <w:szCs w:val="24"/>
              </w:rPr>
            </w:pPr>
            <w:r w:rsidRPr="00752E19">
              <w:rPr>
                <w:rFonts w:ascii="Times New Roman" w:eastAsia="Times New Roman" w:hAnsi="Times New Roman"/>
                <w:b/>
                <w:bCs/>
                <w:sz w:val="24"/>
                <w:szCs w:val="24"/>
              </w:rPr>
              <w:t xml:space="preserve">Quy </w:t>
            </w:r>
            <w:proofErr w:type="spellStart"/>
            <w:r w:rsidRPr="00752E19">
              <w:rPr>
                <w:rFonts w:ascii="Times New Roman" w:eastAsia="Times New Roman" w:hAnsi="Times New Roman"/>
                <w:b/>
                <w:bCs/>
                <w:sz w:val="24"/>
                <w:szCs w:val="24"/>
              </w:rPr>
              <w:t>mô</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Quỹ</w:t>
            </w:r>
            <w:proofErr w:type="spellEnd"/>
          </w:p>
        </w:tc>
        <w:tc>
          <w:tcPr>
            <w:tcW w:w="4503" w:type="dxa"/>
          </w:tcPr>
          <w:p w14:paraId="40BA922E" w14:textId="77777777" w:rsidR="00D96D22" w:rsidRPr="00752E19" w:rsidRDefault="00D96D22" w:rsidP="00B55FE8">
            <w:pPr>
              <w:pStyle w:val="CommentText"/>
              <w:jc w:val="both"/>
              <w:rPr>
                <w:rFonts w:ascii="Times New Roman" w:eastAsia="Times New Roman" w:hAnsi="Times New Roman"/>
                <w:b/>
                <w:bCs/>
                <w:sz w:val="24"/>
                <w:szCs w:val="24"/>
              </w:rPr>
            </w:pPr>
            <w:proofErr w:type="spellStart"/>
            <w:r w:rsidRPr="00752E19">
              <w:rPr>
                <w:rFonts w:ascii="Times New Roman" w:eastAsia="Times New Roman" w:hAnsi="Times New Roman"/>
                <w:b/>
                <w:bCs/>
                <w:sz w:val="24"/>
                <w:szCs w:val="24"/>
              </w:rPr>
              <w:t>Giá</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dịch</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vụ</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Giám</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sát</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trên</w:t>
            </w:r>
            <w:proofErr w:type="spellEnd"/>
            <w:r w:rsidRPr="00752E19">
              <w:rPr>
                <w:rFonts w:ascii="Times New Roman" w:eastAsia="Times New Roman" w:hAnsi="Times New Roman"/>
                <w:b/>
                <w:bCs/>
                <w:sz w:val="24"/>
                <w:szCs w:val="24"/>
              </w:rPr>
              <w:t xml:space="preserve"> GTTSR)</w:t>
            </w:r>
          </w:p>
        </w:tc>
      </w:tr>
      <w:tr w:rsidR="00D96D22" w:rsidRPr="00752E19" w14:paraId="31A9683C" w14:textId="77777777" w:rsidTr="00D96D22">
        <w:tc>
          <w:tcPr>
            <w:tcW w:w="3837" w:type="dxa"/>
          </w:tcPr>
          <w:p w14:paraId="5BAC3335" w14:textId="77777777" w:rsidR="00D96D22" w:rsidRPr="00752E19" w:rsidRDefault="00D96D22" w:rsidP="00B55FE8">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Dưới</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503" w:type="dxa"/>
          </w:tcPr>
          <w:p w14:paraId="78355922" w14:textId="77777777" w:rsidR="00D96D22" w:rsidRPr="00752E19" w:rsidRDefault="00D96D22" w:rsidP="00B55FE8">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0,02%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35F310FA" w14:textId="77777777" w:rsidTr="00D96D22">
        <w:tc>
          <w:tcPr>
            <w:tcW w:w="3837" w:type="dxa"/>
          </w:tcPr>
          <w:p w14:paraId="4B109B71" w14:textId="77777777" w:rsidR="00D96D22" w:rsidRPr="00752E19" w:rsidRDefault="00D96D22" w:rsidP="00B55FE8">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Từ</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đến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503" w:type="dxa"/>
          </w:tcPr>
          <w:p w14:paraId="57280921" w14:textId="77777777" w:rsidR="00D96D22" w:rsidRPr="00752E19" w:rsidRDefault="00D96D22" w:rsidP="00B55FE8">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0,0175%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1E66D026" w14:textId="77777777" w:rsidTr="00D96D22">
        <w:tc>
          <w:tcPr>
            <w:tcW w:w="3837" w:type="dxa"/>
          </w:tcPr>
          <w:p w14:paraId="48DF266E" w14:textId="77777777" w:rsidR="00D96D22" w:rsidRPr="00752E19" w:rsidRDefault="00D96D22" w:rsidP="00B55FE8">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Trên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503" w:type="dxa"/>
          </w:tcPr>
          <w:p w14:paraId="33D21B1C" w14:textId="77777777" w:rsidR="00D96D22" w:rsidRPr="00752E19" w:rsidRDefault="00D96D22" w:rsidP="00B55FE8">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0,015%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bl>
    <w:p w14:paraId="1D943F73" w14:textId="4C6205F6" w:rsidR="00D96D22" w:rsidRPr="00483A63" w:rsidRDefault="00D96D22" w:rsidP="00483A63">
      <w:pPr>
        <w:pStyle w:val="ListParagraph"/>
        <w:numPr>
          <w:ilvl w:val="0"/>
          <w:numId w:val="20"/>
        </w:numPr>
        <w:spacing w:before="120" w:after="120" w:line="240" w:lineRule="auto"/>
        <w:jc w:val="both"/>
        <w:rPr>
          <w:rFonts w:ascii="Times New Roman" w:hAnsi="Times New Roman"/>
          <w:lang w:val="nl-NL"/>
        </w:rPr>
      </w:pPr>
      <w:r w:rsidRPr="00483A63">
        <w:rPr>
          <w:rFonts w:ascii="Times New Roman" w:hAnsi="Times New Roman"/>
          <w:lang w:val="nl-NL"/>
        </w:rPr>
        <w:t>Giá dịch vụ giám sát tối thiểu là 17,25 triệu đồng/tháng.</w:t>
      </w:r>
    </w:p>
    <w:p w14:paraId="5B52E9A1" w14:textId="4D37905B" w:rsidR="00D96D22" w:rsidRPr="00483A63" w:rsidRDefault="00D96D22" w:rsidP="00483A63">
      <w:pPr>
        <w:pStyle w:val="ListParagraph"/>
        <w:numPr>
          <w:ilvl w:val="0"/>
          <w:numId w:val="20"/>
        </w:numPr>
        <w:spacing w:before="120" w:after="120" w:line="240" w:lineRule="auto"/>
        <w:jc w:val="both"/>
        <w:rPr>
          <w:rFonts w:ascii="Times New Roman" w:hAnsi="Times New Roman"/>
          <w:lang w:val="nl-NL"/>
        </w:rPr>
      </w:pPr>
      <w:r w:rsidRPr="00483A63">
        <w:rPr>
          <w:rFonts w:ascii="Times New Roman" w:hAnsi="Times New Roman"/>
          <w:lang w:val="nl-NL"/>
        </w:rPr>
        <w:lastRenderedPageBreak/>
        <w:t>Giá dịch vụ Giám sát trả hàng tháng là tổng số giá được tính (trích lập) tại các Ngày Định Giá thực hiện trong tháng.</w:t>
      </w:r>
    </w:p>
    <w:p w14:paraId="6B5211A6" w14:textId="43E8D3CE" w:rsidR="00D96D22" w:rsidRPr="00483A63" w:rsidRDefault="00D96D22" w:rsidP="00483A63">
      <w:pPr>
        <w:pStyle w:val="ListParagraph"/>
        <w:numPr>
          <w:ilvl w:val="0"/>
          <w:numId w:val="20"/>
        </w:numPr>
        <w:spacing w:before="120" w:after="120" w:line="240" w:lineRule="auto"/>
        <w:jc w:val="both"/>
        <w:rPr>
          <w:rFonts w:ascii="Times New Roman" w:hAnsi="Times New Roman"/>
          <w:lang w:val="vi-VN"/>
        </w:rPr>
      </w:pPr>
      <w:r w:rsidRPr="00483A63">
        <w:rPr>
          <w:rFonts w:ascii="Times New Roman" w:hAnsi="Times New Roman"/>
          <w:lang w:val="nl-NL"/>
        </w:rPr>
        <w:t>Công thức tính (trích lập) Giá dịch vụ Lưu ký, Giám sát được quy định cụ thể như sau</w:t>
      </w:r>
      <w:r w:rsidRPr="00483A63">
        <w:rPr>
          <w:rFonts w:ascii="Times New Roman" w:hAnsi="Times New Roman"/>
          <w:lang w:val="vi-VN"/>
        </w:rPr>
        <w:t>:</w:t>
      </w:r>
    </w:p>
    <w:tbl>
      <w:tblPr>
        <w:tblStyle w:val="TableGrid"/>
        <w:tblpPr w:leftFromText="180" w:rightFromText="180" w:vertAnchor="text" w:horzAnchor="margin" w:tblpX="720" w:tblpY="10"/>
        <w:tblW w:w="920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2430"/>
        <w:gridCol w:w="270"/>
        <w:gridCol w:w="6504"/>
      </w:tblGrid>
      <w:tr w:rsidR="00D96D22" w:rsidRPr="00752E19" w14:paraId="7FA3A460" w14:textId="77777777" w:rsidTr="00B55FE8">
        <w:trPr>
          <w:trHeight w:val="248"/>
        </w:trPr>
        <w:tc>
          <w:tcPr>
            <w:tcW w:w="2430" w:type="dxa"/>
            <w:vMerge w:val="restart"/>
            <w:vAlign w:val="center"/>
          </w:tcPr>
          <w:p w14:paraId="05AC5961" w14:textId="77777777" w:rsidR="00D96D22" w:rsidRPr="00752E19" w:rsidRDefault="00D96D22" w:rsidP="00B55FE8">
            <w:pPr>
              <w:pStyle w:val="CommentText"/>
              <w:spacing w:before="6" w:after="6"/>
              <w:jc w:val="both"/>
              <w:rPr>
                <w:rFonts w:ascii="Times New Roman" w:hAnsi="Times New Roman"/>
                <w:i/>
                <w:spacing w:val="-4"/>
                <w:sz w:val="22"/>
                <w:szCs w:val="22"/>
                <w:lang w:val="nl-NL"/>
              </w:rPr>
            </w:pPr>
            <w:r w:rsidRPr="00752E19">
              <w:rPr>
                <w:rFonts w:ascii="Times New Roman" w:hAnsi="Times New Roman"/>
                <w:i/>
                <w:noProof/>
                <w:sz w:val="22"/>
                <w:szCs w:val="22"/>
                <w:lang w:val="vi-VN"/>
              </w:rPr>
              <w:t xml:space="preserve">Giá </w:t>
            </w:r>
            <w:r w:rsidRPr="00752E19">
              <w:rPr>
                <w:rFonts w:ascii="Times New Roman" w:hAnsi="Times New Roman"/>
                <w:i/>
                <w:noProof/>
                <w:sz w:val="22"/>
                <w:szCs w:val="22"/>
              </w:rPr>
              <w:t>D</w:t>
            </w:r>
            <w:r w:rsidRPr="00752E19">
              <w:rPr>
                <w:rFonts w:ascii="Times New Roman" w:hAnsi="Times New Roman"/>
                <w:i/>
                <w:noProof/>
                <w:sz w:val="22"/>
                <w:szCs w:val="22"/>
                <w:lang w:val="vi-VN"/>
              </w:rPr>
              <w:t xml:space="preserve">ịch vụ </w:t>
            </w:r>
            <w:r w:rsidRPr="00752E19">
              <w:rPr>
                <w:rFonts w:ascii="Times New Roman" w:hAnsi="Times New Roman"/>
                <w:i/>
                <w:noProof/>
                <w:sz w:val="22"/>
                <w:szCs w:val="22"/>
              </w:rPr>
              <w:t>Lưu ký, Giám sát của kỳ định giá</w:t>
            </w:r>
          </w:p>
        </w:tc>
        <w:tc>
          <w:tcPr>
            <w:tcW w:w="270" w:type="dxa"/>
            <w:vMerge w:val="restart"/>
            <w:vAlign w:val="center"/>
          </w:tcPr>
          <w:p w14:paraId="3FED8580" w14:textId="77777777" w:rsidR="00D96D22" w:rsidRPr="00752E19" w:rsidRDefault="00D96D22" w:rsidP="00B55FE8">
            <w:pPr>
              <w:pStyle w:val="CommentText"/>
              <w:spacing w:before="6" w:after="6"/>
              <w:jc w:val="center"/>
              <w:rPr>
                <w:rFonts w:ascii="Times New Roman" w:hAnsi="Times New Roman"/>
                <w:i/>
                <w:spacing w:val="-4"/>
                <w:sz w:val="22"/>
                <w:szCs w:val="22"/>
                <w:lang w:val="nl-NL"/>
              </w:rPr>
            </w:pPr>
            <w:r w:rsidRPr="00752E19">
              <w:rPr>
                <w:rFonts w:ascii="Times New Roman" w:hAnsi="Times New Roman"/>
                <w:i/>
                <w:spacing w:val="-4"/>
                <w:sz w:val="22"/>
                <w:szCs w:val="22"/>
                <w:lang w:val="nl-NL"/>
              </w:rPr>
              <w:t>=</w:t>
            </w:r>
          </w:p>
        </w:tc>
        <w:tc>
          <w:tcPr>
            <w:tcW w:w="6504" w:type="dxa"/>
            <w:vAlign w:val="center"/>
          </w:tcPr>
          <w:p w14:paraId="1627603C" w14:textId="77777777" w:rsidR="00D96D22" w:rsidRPr="00752E19" w:rsidRDefault="00D96D22" w:rsidP="00B55FE8">
            <w:pPr>
              <w:pStyle w:val="CommentText"/>
              <w:spacing w:before="6" w:after="6"/>
              <w:jc w:val="center"/>
              <w:rPr>
                <w:rFonts w:ascii="Times New Roman" w:hAnsi="Times New Roman"/>
                <w:i/>
                <w:spacing w:val="-4"/>
                <w:sz w:val="22"/>
                <w:szCs w:val="22"/>
                <w:lang w:val="nl-NL"/>
              </w:rPr>
            </w:pPr>
            <w:r w:rsidRPr="00752E19">
              <w:rPr>
                <w:rFonts w:ascii="Times New Roman" w:hAnsi="Times New Roman"/>
                <w:i/>
                <w:noProof/>
                <w:sz w:val="22"/>
                <w:szCs w:val="22"/>
              </w:rPr>
              <w:t>Tỷ lệ Giá dịch vụ áp dụng x</w:t>
            </w:r>
            <w:r w:rsidRPr="00752E19">
              <w:rPr>
                <w:rFonts w:ascii="Times New Roman" w:hAnsi="Times New Roman"/>
                <w:i/>
                <w:noProof/>
                <w:sz w:val="22"/>
                <w:szCs w:val="22"/>
                <w:lang w:val="vi-VN"/>
              </w:rPr>
              <w:t xml:space="preserve"> </w:t>
            </w:r>
            <w:r w:rsidRPr="00752E19">
              <w:rPr>
                <w:rFonts w:ascii="Times New Roman" w:hAnsi="Times New Roman"/>
                <w:i/>
                <w:noProof/>
                <w:sz w:val="22"/>
                <w:szCs w:val="22"/>
              </w:rPr>
              <w:t xml:space="preserve">GTTSR </w:t>
            </w:r>
            <w:r w:rsidRPr="00752E19">
              <w:rPr>
                <w:rFonts w:ascii="Times New Roman" w:hAnsi="Times New Roman"/>
                <w:i/>
                <w:noProof/>
                <w:sz w:val="22"/>
                <w:szCs w:val="22"/>
                <w:lang w:val="vi-VN"/>
              </w:rPr>
              <w:t xml:space="preserve">x Số ngày thực tế </w:t>
            </w:r>
            <w:r w:rsidRPr="00752E19">
              <w:rPr>
                <w:rFonts w:ascii="Times New Roman" w:hAnsi="Times New Roman"/>
                <w:i/>
                <w:noProof/>
                <w:sz w:val="22"/>
                <w:szCs w:val="22"/>
              </w:rPr>
              <w:t>trong kỳ định giá</w:t>
            </w:r>
          </w:p>
        </w:tc>
      </w:tr>
      <w:tr w:rsidR="00D96D22" w:rsidRPr="00752E19" w14:paraId="088E03D6" w14:textId="77777777" w:rsidTr="00B55FE8">
        <w:trPr>
          <w:trHeight w:val="247"/>
        </w:trPr>
        <w:tc>
          <w:tcPr>
            <w:tcW w:w="2430" w:type="dxa"/>
            <w:vMerge/>
            <w:vAlign w:val="center"/>
          </w:tcPr>
          <w:p w14:paraId="43E5FB20" w14:textId="77777777" w:rsidR="00D96D22" w:rsidRPr="00752E19" w:rsidRDefault="00D96D22" w:rsidP="00B55FE8">
            <w:pPr>
              <w:pStyle w:val="CommentText"/>
              <w:spacing w:before="6" w:after="6"/>
              <w:jc w:val="both"/>
              <w:rPr>
                <w:rFonts w:ascii="Times New Roman" w:hAnsi="Times New Roman"/>
                <w:i/>
                <w:noProof/>
                <w:sz w:val="22"/>
                <w:szCs w:val="22"/>
                <w:lang w:val="vi-VN"/>
              </w:rPr>
            </w:pPr>
          </w:p>
        </w:tc>
        <w:tc>
          <w:tcPr>
            <w:tcW w:w="270" w:type="dxa"/>
            <w:vMerge/>
            <w:vAlign w:val="center"/>
          </w:tcPr>
          <w:p w14:paraId="68DFC507" w14:textId="77777777" w:rsidR="00D96D22" w:rsidRPr="00752E19" w:rsidRDefault="00D96D22" w:rsidP="00B55FE8">
            <w:pPr>
              <w:pStyle w:val="CommentText"/>
              <w:spacing w:before="6" w:after="6"/>
              <w:jc w:val="both"/>
              <w:rPr>
                <w:rFonts w:ascii="Times New Roman" w:hAnsi="Times New Roman"/>
                <w:i/>
                <w:spacing w:val="-4"/>
                <w:sz w:val="22"/>
                <w:szCs w:val="22"/>
                <w:lang w:val="nl-NL"/>
              </w:rPr>
            </w:pPr>
          </w:p>
        </w:tc>
        <w:tc>
          <w:tcPr>
            <w:tcW w:w="6504" w:type="dxa"/>
            <w:vAlign w:val="center"/>
          </w:tcPr>
          <w:p w14:paraId="6B96858B" w14:textId="77777777" w:rsidR="00D96D22" w:rsidRPr="00752E19" w:rsidRDefault="00D96D22" w:rsidP="00B55FE8">
            <w:pPr>
              <w:pStyle w:val="CommentText"/>
              <w:spacing w:before="6" w:after="6"/>
              <w:jc w:val="center"/>
              <w:rPr>
                <w:rFonts w:ascii="Times New Roman" w:hAnsi="Times New Roman"/>
                <w:i/>
                <w:spacing w:val="-4"/>
                <w:sz w:val="22"/>
                <w:szCs w:val="22"/>
                <w:lang w:val="nl-NL"/>
              </w:rPr>
            </w:pPr>
            <w:r w:rsidRPr="00752E19">
              <w:rPr>
                <w:rFonts w:ascii="Times New Roman" w:hAnsi="Times New Roman"/>
                <w:i/>
                <w:noProof/>
                <w:sz w:val="22"/>
                <w:szCs w:val="22"/>
              </w:rPr>
              <w:t>365 (hoặc 366)</w:t>
            </w:r>
          </w:p>
        </w:tc>
      </w:tr>
    </w:tbl>
    <w:p w14:paraId="603DFF31" w14:textId="77777777" w:rsidR="00274FF0" w:rsidRPr="007A39A5" w:rsidRDefault="00274FF0" w:rsidP="00274FF0">
      <w:pPr>
        <w:spacing w:before="120" w:after="120" w:line="240" w:lineRule="auto"/>
        <w:jc w:val="both"/>
        <w:rPr>
          <w:rFonts w:ascii="Times New Roman" w:eastAsia="Times New Roman" w:hAnsi="Times New Roman" w:cs="Times New Roman"/>
          <w:bCs/>
          <w:lang w:val="vi-VN"/>
        </w:rPr>
      </w:pPr>
    </w:p>
    <w:p w14:paraId="06717455" w14:textId="77777777" w:rsidR="00D96D22" w:rsidRDefault="00D96D22" w:rsidP="00A62440">
      <w:pPr>
        <w:spacing w:before="120" w:after="120" w:line="240" w:lineRule="auto"/>
        <w:jc w:val="both"/>
        <w:rPr>
          <w:rFonts w:ascii="Times New Roman" w:eastAsia="Times New Roman" w:hAnsi="Times New Roman" w:cs="Times New Roman"/>
          <w:bCs/>
          <w:lang w:val="vi-VN"/>
        </w:rPr>
      </w:pPr>
    </w:p>
    <w:p w14:paraId="183F20EA" w14:textId="3BFF7AB4" w:rsidR="00D96D22" w:rsidRDefault="00D96D22" w:rsidP="00D96D22">
      <w:pPr>
        <w:pStyle w:val="ListParagraph"/>
        <w:spacing w:before="120" w:after="120" w:line="240" w:lineRule="auto"/>
        <w:jc w:val="both"/>
        <w:rPr>
          <w:rFonts w:ascii="Times New Roman" w:hAnsi="Times New Roman"/>
          <w:lang w:val="nl-NL"/>
        </w:rPr>
      </w:pPr>
      <w:r w:rsidRPr="00483A63">
        <w:rPr>
          <w:rFonts w:ascii="Times New Roman" w:hAnsi="Times New Roman"/>
          <w:lang w:val="nl-NL"/>
        </w:rPr>
        <w:t>Trong đó GTTSR là Giá Trị Tài Sản Ròng được xác định vào Ngày Định Giá.</w:t>
      </w:r>
    </w:p>
    <w:p w14:paraId="458D6543" w14:textId="2DEEB7CE" w:rsidR="00D96D22" w:rsidRPr="00483A63" w:rsidRDefault="00D96D22" w:rsidP="00D96D22">
      <w:pPr>
        <w:spacing w:before="120" w:after="120" w:line="240" w:lineRule="auto"/>
        <w:jc w:val="both"/>
        <w:rPr>
          <w:rFonts w:ascii="Times New Roman" w:eastAsia="Times New Roman" w:hAnsi="Times New Roman" w:cs="Times New Roman"/>
          <w:b/>
          <w:bCs/>
          <w:lang w:val="vi-VN"/>
        </w:rPr>
      </w:pPr>
      <w:r w:rsidRPr="00483A63">
        <w:rPr>
          <w:rFonts w:ascii="Times New Roman" w:hAnsi="Times New Roman"/>
          <w:b/>
          <w:bCs/>
          <w:i/>
          <w:lang w:val="nl-NL"/>
        </w:rPr>
        <w:t>Phí dịch vụ quản trị Quỹ - Ngân hàng TNHH một thành viên Standard Chartered (Việt Nam)</w:t>
      </w:r>
    </w:p>
    <w:p w14:paraId="34E8FF35" w14:textId="181D8D2E" w:rsidR="00D96D22" w:rsidRPr="00483A63" w:rsidRDefault="00D96D22" w:rsidP="00483A63">
      <w:pPr>
        <w:spacing w:before="120" w:after="120" w:line="240" w:lineRule="auto"/>
        <w:jc w:val="both"/>
        <w:rPr>
          <w:rFonts w:ascii="Times New Roman" w:hAnsi="Times New Roman"/>
          <w:lang w:val="nl-NL"/>
        </w:rPr>
      </w:pPr>
      <w:r w:rsidRPr="00483A63">
        <w:rPr>
          <w:rFonts w:ascii="Times New Roman" w:hAnsi="Times New Roman"/>
          <w:lang w:val="nl-NL"/>
        </w:rPr>
        <w:t>Giá Dịch vụ Quản trị Quỹ được trả cho Tổ chức cung cấp dịch vụ Quản trị Quỹ, được tính trên tỷ lệ phần trăm Giá Trị Tài Sản Ròng (“GTTSR”) của Quỹ. Đối với tần suất định giá hai lần một tuần, Giá Dịch vụ Quản trị Quỹ cụ thể như sau:</w:t>
      </w:r>
    </w:p>
    <w:tbl>
      <w:tblPr>
        <w:tblStyle w:val="TableGrid"/>
        <w:tblW w:w="8931" w:type="dxa"/>
        <w:tblInd w:w="810" w:type="dxa"/>
        <w:tblLook w:val="04A0" w:firstRow="1" w:lastRow="0" w:firstColumn="1" w:lastColumn="0" w:noHBand="0" w:noVBand="1"/>
      </w:tblPr>
      <w:tblGrid>
        <w:gridCol w:w="4140"/>
        <w:gridCol w:w="4791"/>
      </w:tblGrid>
      <w:tr w:rsidR="00D96D22" w:rsidRPr="00752E19" w14:paraId="30DB92D7" w14:textId="77777777" w:rsidTr="00B55FE8">
        <w:tc>
          <w:tcPr>
            <w:tcW w:w="4140" w:type="dxa"/>
          </w:tcPr>
          <w:p w14:paraId="52BCDD5C" w14:textId="77777777" w:rsidR="00D96D22" w:rsidRPr="00752E19" w:rsidRDefault="00D96D22" w:rsidP="00B55FE8">
            <w:pPr>
              <w:pStyle w:val="CommentText"/>
              <w:jc w:val="both"/>
              <w:rPr>
                <w:rFonts w:ascii="Times New Roman" w:eastAsia="Times New Roman" w:hAnsi="Times New Roman"/>
                <w:b/>
                <w:bCs/>
                <w:sz w:val="24"/>
                <w:szCs w:val="24"/>
              </w:rPr>
            </w:pPr>
            <w:r w:rsidRPr="00752E19">
              <w:rPr>
                <w:rFonts w:ascii="Times New Roman" w:eastAsia="Times New Roman" w:hAnsi="Times New Roman"/>
                <w:b/>
                <w:bCs/>
                <w:sz w:val="24"/>
                <w:szCs w:val="24"/>
              </w:rPr>
              <w:t xml:space="preserve">Quy </w:t>
            </w:r>
            <w:proofErr w:type="spellStart"/>
            <w:r w:rsidRPr="00752E19">
              <w:rPr>
                <w:rFonts w:ascii="Times New Roman" w:eastAsia="Times New Roman" w:hAnsi="Times New Roman"/>
                <w:b/>
                <w:bCs/>
                <w:sz w:val="24"/>
                <w:szCs w:val="24"/>
              </w:rPr>
              <w:t>mô</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Quỹ</w:t>
            </w:r>
            <w:proofErr w:type="spellEnd"/>
          </w:p>
        </w:tc>
        <w:tc>
          <w:tcPr>
            <w:tcW w:w="4791" w:type="dxa"/>
          </w:tcPr>
          <w:p w14:paraId="3284EF42" w14:textId="77777777" w:rsidR="00D96D22" w:rsidRPr="00752E19" w:rsidRDefault="00D96D22" w:rsidP="00B55FE8">
            <w:pPr>
              <w:pStyle w:val="CommentText"/>
              <w:jc w:val="both"/>
              <w:rPr>
                <w:rFonts w:ascii="Times New Roman" w:eastAsia="Times New Roman" w:hAnsi="Times New Roman"/>
                <w:b/>
                <w:bCs/>
                <w:sz w:val="24"/>
                <w:szCs w:val="24"/>
              </w:rPr>
            </w:pPr>
            <w:proofErr w:type="spellStart"/>
            <w:r w:rsidRPr="00752E19">
              <w:rPr>
                <w:rFonts w:ascii="Times New Roman" w:eastAsia="Times New Roman" w:hAnsi="Times New Roman"/>
                <w:b/>
                <w:bCs/>
                <w:sz w:val="24"/>
                <w:szCs w:val="24"/>
              </w:rPr>
              <w:t>Giá</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dịch</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vụ</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Quản</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trị</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Quỹ</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trên</w:t>
            </w:r>
            <w:proofErr w:type="spellEnd"/>
            <w:r w:rsidRPr="00752E19">
              <w:rPr>
                <w:rFonts w:ascii="Times New Roman" w:eastAsia="Times New Roman" w:hAnsi="Times New Roman"/>
                <w:b/>
                <w:bCs/>
                <w:sz w:val="24"/>
                <w:szCs w:val="24"/>
              </w:rPr>
              <w:t xml:space="preserve"> GTTSR) </w:t>
            </w:r>
          </w:p>
        </w:tc>
      </w:tr>
      <w:tr w:rsidR="00D96D22" w:rsidRPr="00752E19" w14:paraId="54E9CD28" w14:textId="77777777" w:rsidTr="00B55FE8">
        <w:tc>
          <w:tcPr>
            <w:tcW w:w="4140" w:type="dxa"/>
          </w:tcPr>
          <w:p w14:paraId="729D101A" w14:textId="77777777" w:rsidR="00D96D22" w:rsidRPr="00752E19" w:rsidRDefault="00D96D22" w:rsidP="00B55FE8">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Dưới</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791" w:type="dxa"/>
          </w:tcPr>
          <w:p w14:paraId="0E7FB906" w14:textId="77777777" w:rsidR="00D96D22" w:rsidRPr="00752E19" w:rsidRDefault="00D96D22" w:rsidP="00B55FE8">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0,025%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1AB340D4" w14:textId="77777777" w:rsidTr="00B55FE8">
        <w:tc>
          <w:tcPr>
            <w:tcW w:w="4140" w:type="dxa"/>
          </w:tcPr>
          <w:p w14:paraId="2870574B" w14:textId="77777777" w:rsidR="00D96D22" w:rsidRPr="00752E19" w:rsidRDefault="00D96D22" w:rsidP="00B55FE8">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Từ</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đến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791" w:type="dxa"/>
          </w:tcPr>
          <w:p w14:paraId="78D190F7" w14:textId="77777777" w:rsidR="00D96D22" w:rsidRPr="00752E19" w:rsidRDefault="00D96D22" w:rsidP="00B55FE8">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0,02%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0E39B391" w14:textId="77777777" w:rsidTr="00B55FE8">
        <w:tc>
          <w:tcPr>
            <w:tcW w:w="4140" w:type="dxa"/>
          </w:tcPr>
          <w:p w14:paraId="69CACA79" w14:textId="77777777" w:rsidR="00D96D22" w:rsidRPr="00752E19" w:rsidRDefault="00D96D22" w:rsidP="00B55FE8">
            <w:pPr>
              <w:pStyle w:val="CommentText"/>
              <w:widowControl w:val="0"/>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Trên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791" w:type="dxa"/>
          </w:tcPr>
          <w:p w14:paraId="23C66C69" w14:textId="77777777" w:rsidR="00D96D22" w:rsidRPr="00752E19" w:rsidRDefault="00D96D22" w:rsidP="00B55FE8">
            <w:pPr>
              <w:pStyle w:val="CommentText"/>
              <w:widowControl w:val="0"/>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0,0175%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bl>
    <w:p w14:paraId="20219A48" w14:textId="77777777" w:rsidR="00D96D22" w:rsidRPr="00483A63" w:rsidRDefault="00D96D22" w:rsidP="00D96D22">
      <w:pPr>
        <w:pStyle w:val="ListParagraph"/>
        <w:widowControl w:val="0"/>
        <w:numPr>
          <w:ilvl w:val="5"/>
          <w:numId w:val="16"/>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Giá dịch vụ quản trị Quỹ tối thiểu là 20 triệu đồng/tháng.</w:t>
      </w:r>
    </w:p>
    <w:p w14:paraId="44287208" w14:textId="77777777" w:rsidR="00D96D22" w:rsidRPr="00483A63" w:rsidRDefault="00D96D22" w:rsidP="00D96D22">
      <w:pPr>
        <w:pStyle w:val="ListParagraph"/>
        <w:widowControl w:val="0"/>
        <w:numPr>
          <w:ilvl w:val="5"/>
          <w:numId w:val="16"/>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Mức giá dịch vụ này chưa bao gồm giá dịch vụ lập báo cáo tài chính là 3 triệu đồng/tháng và các chi phí dịch vụ phát sinh khác (nếu có).</w:t>
      </w:r>
    </w:p>
    <w:p w14:paraId="7EEC41FB" w14:textId="77777777" w:rsidR="00D96D22" w:rsidRDefault="00D96D22" w:rsidP="00D96D22">
      <w:pPr>
        <w:pStyle w:val="ListParagraph"/>
        <w:widowControl w:val="0"/>
        <w:numPr>
          <w:ilvl w:val="5"/>
          <w:numId w:val="25"/>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Giá dịch vụ quản trị Quỹ trả hàng tháng là tổng số giá được tính (trích lập) tại các Ngày Định Giá thực hiện trong tháng.</w:t>
      </w:r>
    </w:p>
    <w:p w14:paraId="5E198C1F" w14:textId="7BDA4093" w:rsidR="00D96D22" w:rsidRPr="00483A63" w:rsidRDefault="00D96D22" w:rsidP="00483A63">
      <w:pPr>
        <w:pStyle w:val="ListParagraph"/>
        <w:widowControl w:val="0"/>
        <w:spacing w:before="120" w:after="120" w:line="240" w:lineRule="auto"/>
        <w:ind w:left="864"/>
        <w:contextualSpacing w:val="0"/>
        <w:jc w:val="both"/>
        <w:rPr>
          <w:rFonts w:ascii="Times New Roman" w:hAnsi="Times New Roman"/>
          <w:lang w:val="nl-NL"/>
        </w:rPr>
      </w:pPr>
      <w:r w:rsidRPr="00483A63">
        <w:rPr>
          <w:rFonts w:ascii="Times New Roman" w:hAnsi="Times New Roman"/>
          <w:lang w:val="nl-NL"/>
        </w:rPr>
        <w:t>Công thức tính (trích lập) Giá dịch vụ Quản trị quỹ được quy định cụ thể như sau</w:t>
      </w:r>
      <w:r w:rsidRPr="00483A63">
        <w:rPr>
          <w:rFonts w:ascii="Times New Roman" w:hAnsi="Times New Roman"/>
          <w:lang w:val="vi-VN"/>
        </w:rPr>
        <w:t>:</w:t>
      </w:r>
    </w:p>
    <w:tbl>
      <w:tblPr>
        <w:tblStyle w:val="TableGrid"/>
        <w:tblpPr w:leftFromText="180" w:rightFromText="180" w:vertAnchor="text" w:horzAnchor="margin" w:tblpX="720" w:tblpY="10"/>
        <w:tblW w:w="920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2430"/>
        <w:gridCol w:w="270"/>
        <w:gridCol w:w="6504"/>
      </w:tblGrid>
      <w:tr w:rsidR="00D96D22" w:rsidRPr="00752E19" w14:paraId="0A1EE8A9" w14:textId="77777777" w:rsidTr="00B55FE8">
        <w:trPr>
          <w:trHeight w:val="248"/>
        </w:trPr>
        <w:tc>
          <w:tcPr>
            <w:tcW w:w="2430" w:type="dxa"/>
            <w:vMerge w:val="restart"/>
            <w:vAlign w:val="center"/>
          </w:tcPr>
          <w:p w14:paraId="4675666B" w14:textId="77777777" w:rsidR="00D96D22" w:rsidRPr="00752E19" w:rsidRDefault="00D96D22" w:rsidP="00B55FE8">
            <w:pPr>
              <w:pStyle w:val="CommentText"/>
              <w:widowControl w:val="0"/>
              <w:spacing w:before="6" w:after="6"/>
              <w:jc w:val="both"/>
              <w:rPr>
                <w:rFonts w:ascii="Times New Roman" w:hAnsi="Times New Roman"/>
                <w:i/>
                <w:spacing w:val="-4"/>
                <w:sz w:val="22"/>
                <w:szCs w:val="22"/>
                <w:lang w:val="nl-NL"/>
              </w:rPr>
            </w:pPr>
            <w:r w:rsidRPr="00752E19">
              <w:rPr>
                <w:rFonts w:ascii="Times New Roman" w:hAnsi="Times New Roman"/>
                <w:i/>
                <w:noProof/>
                <w:sz w:val="22"/>
                <w:szCs w:val="22"/>
                <w:lang w:val="vi-VN"/>
              </w:rPr>
              <w:t xml:space="preserve">Giá </w:t>
            </w:r>
            <w:r w:rsidRPr="00752E19">
              <w:rPr>
                <w:rFonts w:ascii="Times New Roman" w:hAnsi="Times New Roman"/>
                <w:i/>
                <w:noProof/>
                <w:sz w:val="22"/>
                <w:szCs w:val="22"/>
              </w:rPr>
              <w:t>D</w:t>
            </w:r>
            <w:r w:rsidRPr="00752E19">
              <w:rPr>
                <w:rFonts w:ascii="Times New Roman" w:hAnsi="Times New Roman"/>
                <w:i/>
                <w:noProof/>
                <w:sz w:val="22"/>
                <w:szCs w:val="22"/>
                <w:lang w:val="vi-VN"/>
              </w:rPr>
              <w:t>ịch vụ</w:t>
            </w:r>
            <w:r w:rsidRPr="00752E19">
              <w:rPr>
                <w:i/>
                <w:iCs/>
              </w:rPr>
              <w:t xml:space="preserve"> </w:t>
            </w:r>
            <w:r w:rsidRPr="00752E19">
              <w:rPr>
                <w:rFonts w:ascii="Times New Roman" w:hAnsi="Times New Roman"/>
                <w:i/>
                <w:noProof/>
                <w:sz w:val="22"/>
                <w:szCs w:val="22"/>
              </w:rPr>
              <w:t>Quản trị quỹ của kỳ định giá</w:t>
            </w:r>
          </w:p>
        </w:tc>
        <w:tc>
          <w:tcPr>
            <w:tcW w:w="270" w:type="dxa"/>
            <w:vMerge w:val="restart"/>
            <w:vAlign w:val="center"/>
          </w:tcPr>
          <w:p w14:paraId="20E6E267" w14:textId="77777777" w:rsidR="00D96D22" w:rsidRPr="00752E19" w:rsidRDefault="00D96D22" w:rsidP="00B55FE8">
            <w:pPr>
              <w:pStyle w:val="CommentText"/>
              <w:widowControl w:val="0"/>
              <w:spacing w:before="6" w:after="6"/>
              <w:jc w:val="center"/>
              <w:rPr>
                <w:rFonts w:ascii="Times New Roman" w:hAnsi="Times New Roman"/>
                <w:i/>
                <w:spacing w:val="-4"/>
                <w:sz w:val="22"/>
                <w:szCs w:val="22"/>
                <w:lang w:val="nl-NL"/>
              </w:rPr>
            </w:pPr>
            <w:r w:rsidRPr="00752E19">
              <w:rPr>
                <w:rFonts w:ascii="Times New Roman" w:hAnsi="Times New Roman"/>
                <w:i/>
                <w:spacing w:val="-4"/>
                <w:sz w:val="22"/>
                <w:szCs w:val="22"/>
                <w:lang w:val="nl-NL"/>
              </w:rPr>
              <w:t>=</w:t>
            </w:r>
          </w:p>
        </w:tc>
        <w:tc>
          <w:tcPr>
            <w:tcW w:w="6504" w:type="dxa"/>
            <w:vAlign w:val="center"/>
          </w:tcPr>
          <w:p w14:paraId="5488407D" w14:textId="77777777" w:rsidR="00D96D22" w:rsidRPr="00752E19" w:rsidRDefault="00D96D22" w:rsidP="00B55FE8">
            <w:pPr>
              <w:pStyle w:val="CommentText"/>
              <w:widowControl w:val="0"/>
              <w:spacing w:before="6" w:after="6"/>
              <w:jc w:val="center"/>
              <w:rPr>
                <w:rFonts w:ascii="Times New Roman" w:hAnsi="Times New Roman"/>
                <w:i/>
                <w:spacing w:val="-4"/>
                <w:sz w:val="22"/>
                <w:szCs w:val="22"/>
                <w:lang w:val="nl-NL"/>
              </w:rPr>
            </w:pPr>
            <w:r w:rsidRPr="00752E19">
              <w:rPr>
                <w:rFonts w:ascii="Times New Roman" w:hAnsi="Times New Roman"/>
                <w:i/>
                <w:noProof/>
                <w:sz w:val="22"/>
                <w:szCs w:val="22"/>
              </w:rPr>
              <w:t>Tỷ lệ Giá dịch vụ áp dụng x</w:t>
            </w:r>
            <w:r w:rsidRPr="00752E19">
              <w:rPr>
                <w:rFonts w:ascii="Times New Roman" w:hAnsi="Times New Roman"/>
                <w:i/>
                <w:noProof/>
                <w:sz w:val="22"/>
                <w:szCs w:val="22"/>
                <w:lang w:val="vi-VN"/>
              </w:rPr>
              <w:t xml:space="preserve"> </w:t>
            </w:r>
            <w:r w:rsidRPr="00752E19">
              <w:rPr>
                <w:rFonts w:ascii="Times New Roman" w:hAnsi="Times New Roman"/>
                <w:i/>
                <w:noProof/>
                <w:sz w:val="22"/>
                <w:szCs w:val="22"/>
              </w:rPr>
              <w:t xml:space="preserve">GTTSR </w:t>
            </w:r>
            <w:r w:rsidRPr="00752E19">
              <w:rPr>
                <w:rFonts w:ascii="Times New Roman" w:hAnsi="Times New Roman"/>
                <w:i/>
                <w:noProof/>
                <w:sz w:val="22"/>
                <w:szCs w:val="22"/>
                <w:lang w:val="vi-VN"/>
              </w:rPr>
              <w:t xml:space="preserve">x Số ngày thực tế </w:t>
            </w:r>
            <w:r w:rsidRPr="00752E19">
              <w:rPr>
                <w:rFonts w:ascii="Times New Roman" w:hAnsi="Times New Roman"/>
                <w:i/>
                <w:noProof/>
                <w:sz w:val="22"/>
                <w:szCs w:val="22"/>
              </w:rPr>
              <w:t>trong kỳ định giá</w:t>
            </w:r>
          </w:p>
        </w:tc>
      </w:tr>
      <w:tr w:rsidR="00D96D22" w:rsidRPr="00752E19" w14:paraId="48070C98" w14:textId="77777777" w:rsidTr="00B55FE8">
        <w:trPr>
          <w:trHeight w:val="247"/>
        </w:trPr>
        <w:tc>
          <w:tcPr>
            <w:tcW w:w="2430" w:type="dxa"/>
            <w:vMerge/>
            <w:vAlign w:val="center"/>
          </w:tcPr>
          <w:p w14:paraId="5ED0486D" w14:textId="77777777" w:rsidR="00D96D22" w:rsidRPr="00752E19" w:rsidRDefault="00D96D22" w:rsidP="00B55FE8">
            <w:pPr>
              <w:pStyle w:val="CommentText"/>
              <w:widowControl w:val="0"/>
              <w:spacing w:before="6" w:after="6"/>
              <w:jc w:val="both"/>
              <w:rPr>
                <w:rFonts w:ascii="Times New Roman" w:hAnsi="Times New Roman"/>
                <w:i/>
                <w:noProof/>
                <w:sz w:val="22"/>
                <w:szCs w:val="22"/>
                <w:lang w:val="vi-VN"/>
              </w:rPr>
            </w:pPr>
          </w:p>
        </w:tc>
        <w:tc>
          <w:tcPr>
            <w:tcW w:w="270" w:type="dxa"/>
            <w:vMerge/>
            <w:vAlign w:val="center"/>
          </w:tcPr>
          <w:p w14:paraId="77775DCD" w14:textId="77777777" w:rsidR="00D96D22" w:rsidRPr="00752E19" w:rsidRDefault="00D96D22" w:rsidP="00B55FE8">
            <w:pPr>
              <w:pStyle w:val="CommentText"/>
              <w:widowControl w:val="0"/>
              <w:spacing w:before="6" w:after="6"/>
              <w:jc w:val="both"/>
              <w:rPr>
                <w:rFonts w:ascii="Times New Roman" w:hAnsi="Times New Roman"/>
                <w:i/>
                <w:spacing w:val="-4"/>
                <w:sz w:val="22"/>
                <w:szCs w:val="22"/>
                <w:lang w:val="nl-NL"/>
              </w:rPr>
            </w:pPr>
          </w:p>
        </w:tc>
        <w:tc>
          <w:tcPr>
            <w:tcW w:w="6504" w:type="dxa"/>
            <w:vAlign w:val="center"/>
          </w:tcPr>
          <w:p w14:paraId="39568A5E" w14:textId="635EEC02" w:rsidR="00D96D22" w:rsidRPr="00752E19" w:rsidRDefault="00D96D22" w:rsidP="00483A63">
            <w:pPr>
              <w:pStyle w:val="CommentText"/>
              <w:widowControl w:val="0"/>
              <w:numPr>
                <w:ilvl w:val="0"/>
                <w:numId w:val="26"/>
              </w:numPr>
              <w:spacing w:before="6" w:after="6"/>
              <w:jc w:val="center"/>
              <w:rPr>
                <w:rFonts w:ascii="Times New Roman" w:hAnsi="Times New Roman"/>
                <w:i/>
                <w:spacing w:val="-4"/>
                <w:sz w:val="22"/>
                <w:szCs w:val="22"/>
                <w:lang w:val="nl-NL"/>
              </w:rPr>
            </w:pPr>
            <w:r w:rsidRPr="00752E19">
              <w:rPr>
                <w:rFonts w:ascii="Times New Roman" w:hAnsi="Times New Roman"/>
                <w:i/>
                <w:noProof/>
                <w:sz w:val="22"/>
                <w:szCs w:val="22"/>
              </w:rPr>
              <w:t>oặc 366)</w:t>
            </w:r>
          </w:p>
        </w:tc>
      </w:tr>
    </w:tbl>
    <w:p w14:paraId="49AD1DF3" w14:textId="77777777" w:rsidR="00D96D22" w:rsidRDefault="00D96D22" w:rsidP="00D96D22">
      <w:pPr>
        <w:spacing w:before="120" w:after="120" w:line="240" w:lineRule="auto"/>
        <w:jc w:val="both"/>
        <w:rPr>
          <w:rFonts w:ascii="Times New Roman" w:hAnsi="Times New Roman"/>
          <w:lang w:val="nl-NL"/>
        </w:rPr>
      </w:pPr>
    </w:p>
    <w:p w14:paraId="7C3162C9" w14:textId="77777777" w:rsidR="00D96D22" w:rsidRDefault="00D96D22" w:rsidP="00D96D22">
      <w:pPr>
        <w:spacing w:before="120" w:after="120" w:line="240" w:lineRule="auto"/>
        <w:jc w:val="both"/>
        <w:rPr>
          <w:rFonts w:ascii="Times New Roman" w:hAnsi="Times New Roman"/>
          <w:lang w:val="nl-NL"/>
        </w:rPr>
      </w:pPr>
    </w:p>
    <w:p w14:paraId="157AE110" w14:textId="465C1640" w:rsidR="00D96D22" w:rsidRDefault="00D96D22" w:rsidP="00D96D22">
      <w:pPr>
        <w:spacing w:before="120" w:after="120" w:line="240" w:lineRule="auto"/>
        <w:jc w:val="both"/>
        <w:rPr>
          <w:rFonts w:ascii="Times New Roman" w:hAnsi="Times New Roman"/>
          <w:lang w:val="nl-NL"/>
        </w:rPr>
      </w:pPr>
      <w:r>
        <w:rPr>
          <w:rFonts w:ascii="Times New Roman" w:hAnsi="Times New Roman"/>
          <w:lang w:val="vi-VN"/>
        </w:rPr>
        <w:t xml:space="preserve">                </w:t>
      </w:r>
      <w:r w:rsidRPr="00483A63">
        <w:rPr>
          <w:rFonts w:ascii="Times New Roman" w:hAnsi="Times New Roman"/>
          <w:lang w:val="nl-NL"/>
        </w:rPr>
        <w:t>Trong đó GTTSR là Giá Trị Tài Sản Ròng được xác định vào Ngày Định Giá.</w:t>
      </w:r>
    </w:p>
    <w:p w14:paraId="4BAE315A" w14:textId="77777777" w:rsidR="005C55F1" w:rsidRDefault="00D96D22" w:rsidP="005C55F1">
      <w:pPr>
        <w:spacing w:before="120" w:after="120" w:line="360" w:lineRule="auto"/>
        <w:jc w:val="both"/>
        <w:rPr>
          <w:rFonts w:ascii="Times New Roman" w:hAnsi="Times New Roman"/>
          <w:b/>
          <w:bCs/>
          <w:i/>
          <w:lang w:val="nl-NL"/>
        </w:rPr>
      </w:pPr>
      <w:r w:rsidRPr="00483A63">
        <w:rPr>
          <w:rFonts w:ascii="Times New Roman" w:hAnsi="Times New Roman"/>
          <w:b/>
          <w:bCs/>
          <w:i/>
          <w:lang w:val="nl-NL"/>
        </w:rPr>
        <w:t xml:space="preserve">Phí dịch vụ đại lý chuyển nhượng </w:t>
      </w:r>
    </w:p>
    <w:p w14:paraId="1FE094E9" w14:textId="77777777" w:rsidR="005C55F1" w:rsidRPr="00483A63" w:rsidRDefault="005C55F1" w:rsidP="00483A63">
      <w:pPr>
        <w:pStyle w:val="ListParagraph"/>
        <w:numPr>
          <w:ilvl w:val="0"/>
          <w:numId w:val="27"/>
        </w:numPr>
        <w:spacing w:before="120" w:after="120" w:line="360" w:lineRule="auto"/>
        <w:jc w:val="both"/>
        <w:rPr>
          <w:rFonts w:ascii="Times New Roman" w:hAnsi="Times New Roman"/>
          <w:lang w:val="nl-NL"/>
        </w:rPr>
      </w:pPr>
      <w:r w:rsidRPr="00483A63">
        <w:rPr>
          <w:rFonts w:ascii="Times New Roman" w:hAnsi="Times New Roman"/>
          <w:lang w:val="nl-NL"/>
        </w:rPr>
        <w:t>Giá Dịch vụ Đại Lý Chuyển Nhượng được trả cho Tổ chức cung cấp dịch vụ Đại Lý Chuyển Nhượng.</w:t>
      </w:r>
    </w:p>
    <w:p w14:paraId="3867ACFE" w14:textId="66247670" w:rsidR="00D96D22" w:rsidRPr="00483A63" w:rsidRDefault="005C55F1" w:rsidP="00483A63">
      <w:pPr>
        <w:pStyle w:val="ListParagraph"/>
        <w:numPr>
          <w:ilvl w:val="0"/>
          <w:numId w:val="27"/>
        </w:numPr>
        <w:spacing w:before="120" w:after="120" w:line="360" w:lineRule="auto"/>
        <w:jc w:val="both"/>
        <w:rPr>
          <w:rFonts w:ascii="Times New Roman" w:hAnsi="Times New Roman"/>
          <w:b/>
          <w:bCs/>
          <w:i/>
          <w:lang w:val="nl-NL"/>
        </w:rPr>
      </w:pPr>
      <w:r w:rsidRPr="00483A63">
        <w:rPr>
          <w:rFonts w:ascii="Times New Roman" w:hAnsi="Times New Roman"/>
          <w:lang w:val="nl-NL"/>
        </w:rPr>
        <w:t>Giá Dịch vụ Đại Lý Chuyển Nhượng là 10 triệu đồng/tháng, áp dụng đối với tần suất giao dịch hai lần một tuần. Mức giá dịch vụ Đại Lý Chuyển Nhượng không bao gồm phí lập danh sách thực hiện quyền, tiền gửi thư cho Nhà Đầu Tư, vv…</w:t>
      </w:r>
    </w:p>
    <w:p w14:paraId="0B4A71E5" w14:textId="473F349D" w:rsidR="00D96D22" w:rsidRPr="00483A63" w:rsidRDefault="005C55F1" w:rsidP="00D96D22">
      <w:pPr>
        <w:spacing w:before="120" w:after="120" w:line="240" w:lineRule="auto"/>
        <w:jc w:val="both"/>
        <w:rPr>
          <w:rFonts w:ascii="Times New Roman" w:hAnsi="Times New Roman"/>
          <w:b/>
          <w:bCs/>
          <w:i/>
          <w:lang w:val="nl-NL"/>
        </w:rPr>
      </w:pPr>
      <w:r w:rsidRPr="00483A63">
        <w:rPr>
          <w:rFonts w:ascii="Times New Roman" w:hAnsi="Times New Roman"/>
          <w:b/>
          <w:bCs/>
          <w:i/>
          <w:lang w:val="nl-NL"/>
        </w:rPr>
        <w:t>Các loại phí dịch vụ khác</w:t>
      </w:r>
    </w:p>
    <w:p w14:paraId="15882809" w14:textId="77777777" w:rsidR="005C55F1" w:rsidRPr="00483A63" w:rsidRDefault="005C55F1" w:rsidP="005C55F1">
      <w:pPr>
        <w:widowControl w:val="0"/>
        <w:spacing w:before="120" w:after="120" w:line="240" w:lineRule="auto"/>
        <w:ind w:left="360"/>
        <w:rPr>
          <w:rFonts w:ascii="Times New Roman" w:hAnsi="Times New Roman"/>
          <w:lang w:val="nl-NL"/>
        </w:rPr>
      </w:pPr>
      <w:r w:rsidRPr="00483A63">
        <w:rPr>
          <w:rFonts w:ascii="Times New Roman" w:hAnsi="Times New Roman"/>
          <w:lang w:val="nl-NL"/>
        </w:rPr>
        <w:t>Các giá dịch vụ khác Quỹ có thể phải chi trả bao gồm:</w:t>
      </w:r>
    </w:p>
    <w:p w14:paraId="2374AEE6"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Giá dịch vụ kiểm toán trả cho tổ chức kiểm toán;</w:t>
      </w:r>
    </w:p>
    <w:p w14:paraId="4E6667EC"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Giá dịch vụ tư vấn pháp lý liên quan đến Quỹ;</w:t>
      </w:r>
    </w:p>
    <w:p w14:paraId="49ADB5AE"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Chi phí liên quan đến thực hiện giao dịch tài sản Quỹ: phí môi giới, thuế, phí và lệ phí;</w:t>
      </w:r>
    </w:p>
    <w:p w14:paraId="281FB219"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Chi phí liên quan đến việc thuê các tổ chức độc lập cung cấp dịch vụ định giá, đánh giá tài sản Quỹ;</w:t>
      </w:r>
    </w:p>
    <w:p w14:paraId="63003369"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Chi phí dự thảo, in ấn, gửi Điều Lệ Quỹ, Bản Cáo Bạch, Bản Cáo Bạch tóm tắt, báo cáo tài chính, xác nhận giao dịch, sao kê tài khoản và các tài liệu khác cho Nhà Đầu Tư; chi phí công bố thông tin của Quỹ;</w:t>
      </w:r>
    </w:p>
    <w:p w14:paraId="19C1242E"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Chi phí tổ chức họp Đại Hội Nhà Đầu Tư và Ban Đại Diện Quỹ;</w:t>
      </w:r>
    </w:p>
    <w:p w14:paraId="2195B4CE"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Thù lao và chi phí hoạt động cho Ban Đại Diện Quỹ;</w:t>
      </w:r>
    </w:p>
    <w:p w14:paraId="0746103E"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lastRenderedPageBreak/>
        <w:t>Các chi phí hợp lý và hợp lệ được chấp thuận bởi Ban Đại Diện Quỹ và phù hợp với quy định Pháp luật;</w:t>
      </w:r>
    </w:p>
    <w:p w14:paraId="25E9BFFD"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Thuế, phí, lệ phí mà Quỹ phải thanh toán theo quy định của pháp luật;</w:t>
      </w:r>
    </w:p>
    <w:p w14:paraId="7139E04B" w14:textId="77777777" w:rsidR="005C55F1"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Chi phí liên quan đến việc chuyển đổi Ngân hàng lưu ký, Ngân Hàng Giám Sát hoặc các tổ chức cung cấp dịch vụ khác (nếu có);</w:t>
      </w:r>
    </w:p>
    <w:p w14:paraId="2E854137" w14:textId="3CB7C629" w:rsidR="00D96D22"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sz w:val="24"/>
          <w:szCs w:val="24"/>
          <w:lang w:val="vi-VN"/>
        </w:rPr>
        <w:t>Các chi phí khác phù hợp với quy định Pháp luật.</w:t>
      </w:r>
    </w:p>
    <w:p w14:paraId="62902CF8" w14:textId="77777777" w:rsidR="005C55F1" w:rsidRDefault="005C55F1" w:rsidP="005C55F1">
      <w:pPr>
        <w:widowControl w:val="0"/>
        <w:spacing w:before="120" w:after="120" w:line="240" w:lineRule="auto"/>
        <w:jc w:val="both"/>
        <w:rPr>
          <w:rFonts w:ascii="Times New Roman" w:hAnsi="Times New Roman"/>
          <w:lang w:val="nl-NL"/>
        </w:rPr>
      </w:pPr>
    </w:p>
    <w:p w14:paraId="3D910A21" w14:textId="444F712A" w:rsidR="005C55F1" w:rsidRDefault="005C55F1" w:rsidP="005C55F1">
      <w:pPr>
        <w:pStyle w:val="ListParagraph"/>
        <w:widowControl w:val="0"/>
        <w:numPr>
          <w:ilvl w:val="1"/>
          <w:numId w:val="11"/>
        </w:numPr>
        <w:spacing w:before="120" w:after="120" w:line="240" w:lineRule="auto"/>
        <w:jc w:val="both"/>
        <w:rPr>
          <w:rFonts w:ascii="Times New Roman" w:hAnsi="Times New Roman"/>
          <w:lang w:val="vi-VN"/>
        </w:rPr>
      </w:pPr>
      <w:r>
        <w:rPr>
          <w:rFonts w:ascii="Times New Roman" w:hAnsi="Times New Roman"/>
          <w:lang w:val="vi-VN"/>
        </w:rPr>
        <w:t>Thuế</w:t>
      </w:r>
    </w:p>
    <w:p w14:paraId="466C0044" w14:textId="77777777" w:rsidR="005C55F1" w:rsidRDefault="005C55F1" w:rsidP="005C55F1">
      <w:pPr>
        <w:pStyle w:val="ListParagraph"/>
        <w:spacing w:before="120" w:after="120" w:line="360" w:lineRule="auto"/>
        <w:ind w:left="0"/>
        <w:jc w:val="both"/>
        <w:rPr>
          <w:rFonts w:ascii="Times New Roman" w:hAnsi="Times New Roman"/>
          <w:lang w:val="nl-NL"/>
        </w:rPr>
      </w:pPr>
    </w:p>
    <w:p w14:paraId="40F2EE9B" w14:textId="0C2A1B75" w:rsidR="005C55F1" w:rsidRPr="005C55F1" w:rsidRDefault="005C55F1" w:rsidP="005C55F1">
      <w:pPr>
        <w:pStyle w:val="ListParagraph"/>
        <w:spacing w:before="120" w:after="120" w:line="360" w:lineRule="auto"/>
        <w:ind w:left="0"/>
        <w:jc w:val="both"/>
        <w:rPr>
          <w:rFonts w:ascii="Times New Roman" w:hAnsi="Times New Roman" w:cs="Times New Roman"/>
          <w:lang w:val="nl-NL"/>
        </w:rPr>
      </w:pPr>
      <w:r w:rsidRPr="005C55F1">
        <w:rPr>
          <w:rFonts w:ascii="Times New Roman" w:hAnsi="Times New Roman" w:cs="Times New Roman"/>
          <w:lang w:val="nl-NL"/>
        </w:rPr>
        <w:t>Theo các quy định hiện hành tại Việt Nam, Quỹ không phải trả thuế thu nhập doanh nghiệp. Tuy nhiên, Quỹ có trách nhiệm khấu trừ thuế của các cá nhân và tổ chức tham gia trong các giao dịch sau:</w:t>
      </w:r>
    </w:p>
    <w:p w14:paraId="42B89264" w14:textId="77777777" w:rsidR="005C55F1" w:rsidRPr="005C55F1" w:rsidRDefault="005C55F1" w:rsidP="005C55F1">
      <w:pPr>
        <w:pStyle w:val="ListParagraph"/>
        <w:spacing w:before="120" w:after="120" w:line="360" w:lineRule="auto"/>
        <w:ind w:left="0"/>
        <w:jc w:val="both"/>
        <w:rPr>
          <w:rFonts w:ascii="Times New Roman" w:hAnsi="Times New Roman" w:cs="Times New Roman"/>
          <w:b/>
          <w:i/>
          <w:lang w:val="nl-NL"/>
        </w:rPr>
      </w:pPr>
      <w:r w:rsidRPr="005C55F1">
        <w:rPr>
          <w:rFonts w:ascii="Times New Roman" w:hAnsi="Times New Roman" w:cs="Times New Roman"/>
          <w:b/>
          <w:i/>
          <w:lang w:val="nl-NL"/>
        </w:rPr>
        <w:t>Giao dịch trả cổ tức cho nhà đầu tư</w:t>
      </w:r>
    </w:p>
    <w:p w14:paraId="3DD4D740" w14:textId="77777777" w:rsidR="005C55F1" w:rsidRPr="005C55F1" w:rsidRDefault="005C55F1" w:rsidP="005C55F1">
      <w:pPr>
        <w:spacing w:before="120" w:after="120" w:line="360" w:lineRule="auto"/>
        <w:jc w:val="both"/>
        <w:rPr>
          <w:rFonts w:ascii="Times New Roman" w:hAnsi="Times New Roman" w:cs="Times New Roman"/>
          <w:lang w:val="nl-NL"/>
        </w:rPr>
      </w:pPr>
      <w:r w:rsidRPr="005C55F1">
        <w:rPr>
          <w:rFonts w:ascii="Times New Roman" w:hAnsi="Times New Roman" w:cs="Times New Roman"/>
          <w:lang w:val="nl-NL"/>
        </w:rPr>
        <w:t>Khi Quỹ trả cổ tức cho Nhà Đầu tư, Quỹ phải tuân thủ quy định khấu trừ và nộp thuế theo Thông tư 78/2014/TT-BTC ngày 18 tháng 6 năm 2014 (“Thông tư 78”) được sửa đổi bổ sung theo Thông tư 96/2015/TT-BTC ngày 22 tháng 6 năm 2015 và Thông tư số 111/2013/TT-BTC ngày 15 tháng 8 năm 2013 (“Thông tư 111”) được sửa đổi bổ sung theo Thông tư 92/2015/TT-BTC ngày 15 tháng 6 năm 2015 (“Thông tư 92”) do Bộ Tài chính ban hành và Công văn số 10945/BTC-TCT ngày 19 tháng 8 năm 2010 của Tổng Cục Thuế về chính sách thuế đối với việc chia cổ tức cho tổ chức đầu tư. Theo đó, khi trả cổ tức cho các tổ chức đầu tư, không phân biệt tổ chức đầu tư trong nước hoặc nước ngoài, Công ty Quản lý Quỹ cần giữ lại 20% lợi nhuận được phân phối (ngoại trừ phần lợi nhuận được phân phối đã chịu thuế thu nhập doanh nghiệp ở khâu trước và lãi trái phiếu thu được từ trái phiếu thuộc diện miễn thuế theo quy định của pháp luật hiện hành). Khi trả cổ tức cho nhà đầu tư cá nhân, Công ty Quản lý Quỹ có trách nhiệm khấu trừ số thuế thu nhập cá nhân bằng 5% lợi nhuận được phân phối.</w:t>
      </w:r>
    </w:p>
    <w:p w14:paraId="295292AF" w14:textId="77777777" w:rsidR="005C55F1" w:rsidRPr="005C55F1" w:rsidRDefault="005C55F1" w:rsidP="005C55F1">
      <w:pPr>
        <w:pStyle w:val="ListParagraph"/>
        <w:spacing w:before="120" w:after="120" w:line="360" w:lineRule="auto"/>
        <w:ind w:left="0"/>
        <w:jc w:val="both"/>
        <w:rPr>
          <w:rFonts w:ascii="Times New Roman" w:hAnsi="Times New Roman" w:cs="Times New Roman"/>
          <w:b/>
          <w:i/>
          <w:lang w:val="nl-NL"/>
        </w:rPr>
      </w:pPr>
      <w:r w:rsidRPr="005C55F1">
        <w:rPr>
          <w:rFonts w:ascii="Times New Roman" w:hAnsi="Times New Roman" w:cs="Times New Roman"/>
          <w:b/>
          <w:i/>
          <w:lang w:val="nl-NL"/>
        </w:rPr>
        <w:t>Giao dịch mua lại chứng chỉ quỹ</w:t>
      </w:r>
    </w:p>
    <w:p w14:paraId="7FEB2366" w14:textId="77777777" w:rsidR="002F15B9" w:rsidRDefault="005C55F1" w:rsidP="002F15B9">
      <w:pPr>
        <w:widowControl w:val="0"/>
        <w:spacing w:before="120" w:after="120" w:line="240" w:lineRule="auto"/>
        <w:jc w:val="both"/>
        <w:rPr>
          <w:rFonts w:ascii="Times New Roman" w:hAnsi="Times New Roman" w:cs="Times New Roman"/>
          <w:lang w:val="nl-NL"/>
        </w:rPr>
      </w:pPr>
      <w:r w:rsidRPr="005C55F1">
        <w:rPr>
          <w:rFonts w:ascii="Times New Roman" w:hAnsi="Times New Roman" w:cs="Times New Roman"/>
          <w:lang w:val="nl-NL"/>
        </w:rPr>
        <w:t>Công ty Quản lý Quỹ có nghĩa vụ khấu trừ, kê khai thuế đối với giao dịch mua lại chứng chỉ quỹ từ cá nhân (trong nước và nước ngoài) và những tổ chức được phân loại là tổ chức nước ngoài theo Thông tư 111 được sửa đổi bổ sung bởi Thông tư 92, Thông tư 103/2014/TT-BTC ngày 6 tháng 8 năm 2014 và Thông tư 25/2018/TT-BTC ngày 16 tháng 3 năm 2018 do Bộ Tài chính ban hành. Mức thuế áp dụng là 0,1% giá trị chuyển nhượng. Công ty Quản lý Quỹ sẽ không khấu trừ thuế đối với các giao dịch mua lại chứng chỉ quỹ từ Nhà Đầu tư là tổ chức trong nước. Các Nhà Đầu tư này phải chịu trách nhiệm tự kê khai và nộp thuế cho Nhà nước theo Thông tư 78.</w:t>
      </w:r>
    </w:p>
    <w:p w14:paraId="20CF485D" w14:textId="5F0C0FAA" w:rsidR="002F15B9" w:rsidRPr="00483A63" w:rsidRDefault="002F15B9" w:rsidP="00483A63">
      <w:pPr>
        <w:pStyle w:val="ListParagraph"/>
        <w:widowControl w:val="0"/>
        <w:numPr>
          <w:ilvl w:val="1"/>
          <w:numId w:val="11"/>
        </w:numPr>
        <w:spacing w:before="120" w:after="120" w:line="240" w:lineRule="auto"/>
        <w:jc w:val="both"/>
        <w:rPr>
          <w:rFonts w:ascii="Times New Roman" w:hAnsi="Times New Roman" w:cs="Times New Roman"/>
          <w:lang w:val="nl-NL"/>
        </w:rPr>
      </w:pPr>
      <w:r w:rsidRPr="00483A63">
        <w:rPr>
          <w:rFonts w:ascii="Times New Roman" w:hAnsi="Times New Roman"/>
          <w:iCs/>
          <w:lang w:val="nl-NL"/>
        </w:rPr>
        <w:t>Số dư bằng không</w:t>
      </w:r>
    </w:p>
    <w:p w14:paraId="6F3A1683" w14:textId="4B17E6C3" w:rsidR="002F15B9" w:rsidRPr="00483A63" w:rsidRDefault="002F15B9" w:rsidP="00483A63">
      <w:pPr>
        <w:widowControl w:val="0"/>
        <w:spacing w:before="120" w:after="120" w:line="240" w:lineRule="auto"/>
        <w:jc w:val="both"/>
        <w:rPr>
          <w:rFonts w:ascii="Times New Roman" w:hAnsi="Times New Roman" w:cs="Times New Roman"/>
          <w:lang w:val="vi-VN"/>
        </w:rPr>
      </w:pPr>
      <w:r w:rsidRPr="00453F9E">
        <w:rPr>
          <w:rFonts w:ascii="Times New Roman" w:eastAsia="Times New Roman" w:hAnsi="Times New Roman"/>
          <w:bCs/>
          <w:lang w:val="vi-VN" w:eastAsia="en-GB"/>
        </w:rPr>
        <w:t>Các khoản mục hay số dư được quy định trong Thông tư 198/2012/TT-BTC không được thể hiện trong báo cáo tài chính này thì được hiểu là có số dư bằng không.</w:t>
      </w:r>
    </w:p>
    <w:p w14:paraId="1C1F1AA7" w14:textId="0B898391" w:rsidR="00CC55FD"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5. Các sự kiện hoặc giao dịch trọng yếu trong kỳ kế toán giữa niên độ</w:t>
      </w:r>
    </w:p>
    <w:p w14:paraId="3DC9D6CD" w14:textId="5E89D5BF" w:rsidR="008E5ADB"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5.1. Tính chu kỳ của các hoạt động kinh doanh trong kỳ kế toán giữa niên độ: Quỹ </w:t>
      </w:r>
      <w:r w:rsidR="0028623E">
        <w:rPr>
          <w:rFonts w:ascii="Times New Roman" w:eastAsia="Times New Roman" w:hAnsi="Times New Roman" w:cs="Times New Roman"/>
          <w:bCs/>
          <w:lang w:val="vi-VN"/>
        </w:rPr>
        <w:t>EVESG</w:t>
      </w:r>
      <w:r w:rsidRPr="007A39A5">
        <w:rPr>
          <w:rFonts w:ascii="Times New Roman" w:eastAsia="Times New Roman" w:hAnsi="Times New Roman" w:cs="Times New Roman"/>
          <w:bCs/>
          <w:lang w:val="vi-VN"/>
        </w:rPr>
        <w:t xml:space="preserve"> hoạt động không có tính chu kỳ</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54E75A65" w14:textId="51D30709" w:rsidR="00D16050"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5.2. Trong kỳ, quỹ không phát sinh các khoản mục nào ảnh hưởng đến tài sản, nợ phải trả, nguồn vốn góp, thu nhập thuần, hoặc các luồng tiền được coi là yếu tố không bình thường do tính chất, quy mô hoặc tác động của chúng </w:t>
      </w:r>
    </w:p>
    <w:p w14:paraId="27C1CCA5" w14:textId="77777777" w:rsidR="00D16050" w:rsidRDefault="00D16050">
      <w:pPr>
        <w:rPr>
          <w:rFonts w:ascii="Times New Roman" w:eastAsia="Times New Roman" w:hAnsi="Times New Roman" w:cs="Times New Roman"/>
          <w:bCs/>
          <w:lang w:val="vi-VN"/>
        </w:rPr>
      </w:pPr>
      <w:r>
        <w:rPr>
          <w:rFonts w:ascii="Times New Roman" w:eastAsia="Times New Roman" w:hAnsi="Times New Roman" w:cs="Times New Roman"/>
          <w:bCs/>
          <w:lang w:val="vi-VN"/>
        </w:rPr>
        <w:br w:type="page"/>
      </w:r>
    </w:p>
    <w:p w14:paraId="64625474" w14:textId="71537C8E" w:rsidR="008205F7" w:rsidRPr="007A39A5" w:rsidRDefault="008205F7" w:rsidP="00A62440">
      <w:pPr>
        <w:spacing w:before="120" w:after="120" w:line="240" w:lineRule="auto"/>
        <w:jc w:val="both"/>
        <w:rPr>
          <w:rFonts w:ascii="Times New Roman" w:eastAsia="Times New Roman" w:hAnsi="Times New Roman" w:cs="Times New Roman"/>
          <w:bCs/>
        </w:rPr>
      </w:pPr>
      <w:r w:rsidRPr="007A39A5">
        <w:rPr>
          <w:rFonts w:ascii="Times New Roman" w:eastAsia="Times New Roman" w:hAnsi="Times New Roman" w:cs="Times New Roman"/>
          <w:bCs/>
          <w:lang w:val="vi-VN"/>
        </w:rPr>
        <w:lastRenderedPageBreak/>
        <w:t xml:space="preserve">5.3. </w:t>
      </w:r>
      <w:r w:rsidR="00666F32" w:rsidRPr="007A39A5">
        <w:rPr>
          <w:rFonts w:ascii="Times New Roman" w:eastAsia="Times New Roman" w:hAnsi="Times New Roman" w:cs="Times New Roman"/>
          <w:bCs/>
          <w:lang w:val="vi-VN"/>
        </w:rPr>
        <w:t>Thuyết minh báo cáo tài chính</w:t>
      </w:r>
    </w:p>
    <w:p w14:paraId="507E827D" w14:textId="0A45DB6C" w:rsidR="008205F7" w:rsidRDefault="00A071AD"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Phần này được trình bày theo </w:t>
      </w:r>
      <w:r w:rsidR="008E5ADB" w:rsidRPr="007A39A5">
        <w:rPr>
          <w:rFonts w:ascii="Times New Roman" w:eastAsia="Times New Roman" w:hAnsi="Times New Roman" w:cs="Times New Roman"/>
          <w:bCs/>
          <w:lang w:val="vi-VN"/>
        </w:rPr>
        <w:t xml:space="preserve">Báo Cáo Tài Chính Quỹ mở theo TT198/2012/TT-BTC Quý </w:t>
      </w:r>
      <w:r w:rsidR="00D16050">
        <w:rPr>
          <w:rFonts w:ascii="Times New Roman" w:eastAsia="Times New Roman" w:hAnsi="Times New Roman" w:cs="Times New Roman"/>
          <w:bCs/>
          <w:lang w:val="vi-VN"/>
        </w:rPr>
        <w:t>I</w:t>
      </w:r>
      <w:r w:rsidR="00D16050" w:rsidRPr="007A39A5">
        <w:rPr>
          <w:rFonts w:ascii="Times New Roman" w:eastAsia="Times New Roman" w:hAnsi="Times New Roman" w:cs="Times New Roman"/>
          <w:bCs/>
          <w:lang w:val="vi-VN"/>
        </w:rPr>
        <w:t xml:space="preserve"> </w:t>
      </w:r>
      <w:r w:rsidR="008E5ADB" w:rsidRPr="007A39A5">
        <w:rPr>
          <w:rFonts w:ascii="Times New Roman" w:eastAsia="Times New Roman" w:hAnsi="Times New Roman" w:cs="Times New Roman"/>
          <w:bCs/>
          <w:lang w:val="vi-VN"/>
        </w:rPr>
        <w:t xml:space="preserve">năm </w:t>
      </w:r>
      <w:r w:rsidR="00246426">
        <w:rPr>
          <w:rFonts w:ascii="Times New Roman" w:eastAsia="Times New Roman" w:hAnsi="Times New Roman" w:cs="Times New Roman"/>
          <w:bCs/>
          <w:lang w:val="vi-VN"/>
        </w:rPr>
        <w:t>2025</w:t>
      </w:r>
    </w:p>
    <w:p w14:paraId="2683A7A9"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5.4. Trong kỳ, quỹ không có bất kỳ thay đổi nào liên quan đến các ước tính kế toán </w:t>
      </w:r>
    </w:p>
    <w:p w14:paraId="38EBFC7D" w14:textId="530CA0D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5.5. Nguyên tắc và phương pháp kế toán ghi nhận nguồn vốn Quỹ mở: </w:t>
      </w:r>
    </w:p>
    <w:p w14:paraId="504218A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5.5.1. Vốn góp và thặng dư vốn:</w:t>
      </w:r>
    </w:p>
    <w:p w14:paraId="12B7D4C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của nhà đầu tư: Các chứng chỉ quỹ với quyền hưởng cổ tức được phân loại thành vốn góp của nhà đầu tư, trong đó bao gồm vốn góp phát hành và vốn góp mua lại.</w:t>
      </w:r>
    </w:p>
    <w:p w14:paraId="316B56B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phát hành: 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quỹ của Quỹ. Vốn góp phát hành được phản ánh theo mệnh giá của chứng chỉ quỹ.</w:t>
      </w:r>
    </w:p>
    <w:p w14:paraId="7DE9DA8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mua lại: Vốn góp mua lại phản ánh tình hình mua lại chứng chỉ quỹ của các Nhà đầu tư tại các kỳ giao dịch chứng chỉ quỹ sau khi Quỹ thành lập hoặc theo phương thức chuyển đổi chứng chỉ quỹ của Quỹ với chứng chỉ quỹ của các quỹ mở khác thuộc sự quản lý của Công ty Quản lý Quỹ. Vốn góp mua lại được phản ánh theo mệnh giá của chứng chỉ quỹ.</w:t>
      </w:r>
    </w:p>
    <w:p w14:paraId="11825EC8"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Thặng dư vốn góp của Nhà đầu tư : Thặng dư vốn góp phản ánh chênh lệch giữa giá trị tài sản ròng trên một chứng chỉ quỹ và mệnh giá trên một chứng chỉ quỹ được phát hành/mua lại.</w:t>
      </w:r>
    </w:p>
    <w:p w14:paraId="0E8FAF04" w14:textId="492AFEE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5.5.2. Lợi nhuận chưa phân phối:</w:t>
      </w:r>
    </w:p>
    <w:p w14:paraId="3939F5B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 chưa phân phối phản ánh lợi nhuận chưa phân phối tại thời điểm báo cáo, bao gồm lợi nhuận đã thực hiện và lợi nhuận chưa thực hiện.</w:t>
      </w:r>
    </w:p>
    <w:p w14:paraId="7F94F97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đã thực hiện là số chênh lệch giữa tổng thu nhập, doanh thu với tổng các khoản chi phí của Quỹ lũy kế phát sinh trong năm (không bao gồm chênh lệch tăng/(giảm) đánh giá lại các khoản đầu tư chưa thực hiện).</w:t>
      </w:r>
    </w:p>
    <w:p w14:paraId="113472E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chưa thực hiện là tổng giá trị lãi/(lỗ) đánh giá lại của các khoản đầu tư thuộc danh mục đầu tư của Quỹ lũy kế phát sinh trong năm.</w:t>
      </w:r>
    </w:p>
    <w:p w14:paraId="2429B64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Cuối kỳ kế toán năm, Quỹ xác định lợi nhuận/(lỗ) đã thực hiện và lợi nhuận/(lỗ) chưa thực hiện trong năm và ghi nhận vào “Lợi nhuận chưa phân phối” trên báo cáo tình hình tài chính.</w:t>
      </w:r>
    </w:p>
    <w:p w14:paraId="6F41B261" w14:textId="07FC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w:t>
      </w:r>
    </w:p>
    <w:p w14:paraId="46651A1D" w14:textId="72E8D6B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phản ánh số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trong năm.</w:t>
      </w:r>
    </w:p>
    <w:p w14:paraId="5169CC12" w14:textId="1AA525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ghi nhận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dựa trên Nghị quyết của Đại hội Nhà đầu tư, phù hợp với Điều lệ của Quỹ mở và quy định của pháp luật chứng khoán hiện hành.</w:t>
      </w:r>
    </w:p>
    <w:p w14:paraId="4F9E6E6C" w14:textId="319C39F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5.5.3. Chứng chỉ Quỹ và Giá trị tài sản ròng có thể phân phối cho Nhà đầu tư nắm giữ chứng chỉ quỹ:</w:t>
      </w:r>
    </w:p>
    <w:p w14:paraId="0BFF0A2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Chứng chỉ quỹ có thể được Nhà đầu tư bán lại cho Quỹ vào các ngày giao dịch để đổi lại một lượng tiền tương ứng dựa trên giá trị tài sản ròng có thể phân phối cho nhà đầu tư đang nắm giữ chứng chỉ quỹ tại ngày trước ngày giao dịch. </w:t>
      </w:r>
    </w:p>
    <w:p w14:paraId="5235BA6F" w14:textId="32EA115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phát hành và mua lại chứng chỉ quỹ tại các ngày giao dịch được công bố dựa trên giá trị tài sản ròng trên một chứng chỉ quỹ. Giá trị tài sản ròng trên một chứng chỉ quỹ được tính bằng cách chia giá trị tài sản ròng của Quỹ cho tổng số chứng chỉ quỹ đang lưu hành tại ngày trước ngày giao dịch.</w:t>
      </w:r>
    </w:p>
    <w:p w14:paraId="723E119B" w14:textId="507A089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Tất cả các chứng chỉ quỹ phát hành cho Nhà đầu tư đều có các quyền biểu quyết, quyền hưởng cổ tức, quyền được bán lại và các quyền khác như nhau.</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 xml:space="preserve">Mỗi chứng chỉ quỹ đã phát hành tương ứng với một quyền biểu quyết tại các cuộc họp thường niên của Quỹ và có quyền được hưởng cổ tức mà Quỹ công bố vào từng thời điểm. </w:t>
      </w:r>
    </w:p>
    <w:p w14:paraId="52366CFB" w14:textId="76493C8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trị tài sản ròng có thể phân phối cho nhà đầu tư nắm giữ chứng chỉ quỹ mở đồng thời cũng phản ánh lợi nhuận chưa phân phối, vốn góp của Nhà đầu tư và thặng dư vốn góp.</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Trong đó, vốn góp của Nhà đầu tư của Quỹ bao gồm vốn góp phát hành và vốn góp mua lại.</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 xml:space="preserve">Thặng dư vốn góp của Nhà đầu tư phản ánh chênh lệch giữa thu/chi thực tế từ việc phát hành/mua lại chứng chỉ quỹ dựa trên tài sản ròng trên một </w:t>
      </w:r>
      <w:r w:rsidRPr="00A62440">
        <w:rPr>
          <w:rFonts w:ascii="Times New Roman" w:eastAsia="Times New Roman" w:hAnsi="Times New Roman" w:cs="Times New Roman"/>
          <w:bCs/>
          <w:lang w:val="vi-VN"/>
        </w:rPr>
        <w:lastRenderedPageBreak/>
        <w:t>chứng chỉ quỹ và mệnh giá trên một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Lợi nhuận chưa phân phối của Quỹ bao gồm lợi nhuận đã thực hiện và lợi nhuận chưa thực hiện.</w:t>
      </w:r>
    </w:p>
    <w:p w14:paraId="277204E9"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48C8BBBF" w14:textId="01BF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5.6. Nguyên tắc và phương pháp kế toán ghi nhận các khoản thu nhập, doanh thu Quỹ mở</w:t>
      </w:r>
      <w:r w:rsidR="00CC55FD" w:rsidRPr="00A62440">
        <w:rPr>
          <w:rFonts w:ascii="Times New Roman" w:eastAsia="Times New Roman" w:hAnsi="Times New Roman" w:cs="Times New Roman"/>
          <w:bCs/>
          <w:lang w:val="vi-VN"/>
        </w:rPr>
        <w:t>:</w:t>
      </w:r>
    </w:p>
    <w:p w14:paraId="57D777F6" w14:textId="66499C8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Doanh thu được ghi nhận khi Quỹ có khả năng tương đối chắc chắn nhận được các lợi ích kinh tế và các khoản doanh thu này có thể xác định được một cách đáng tin cậy.</w:t>
      </w:r>
    </w:p>
    <w:p w14:paraId="0021EF9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lãi trái phiếu và cổ tức:</w:t>
      </w:r>
    </w:p>
    <w:p w14:paraId="30F11174" w14:textId="31084ECD"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và lãi trái phiếu được ghi nhận trong báo cáo thu nhập trên cơ sở dồn tích trừ khi khả năng thu hồi không chắc chắn</w:t>
      </w:r>
      <w:r w:rsidR="00CC55FD" w:rsidRPr="00A62440">
        <w:rPr>
          <w:rFonts w:ascii="Times New Roman" w:eastAsia="Times New Roman" w:hAnsi="Times New Roman" w:cs="Times New Roman"/>
          <w:bCs/>
          <w:lang w:val="vi-VN"/>
        </w:rPr>
        <w:t>.</w:t>
      </w:r>
    </w:p>
    <w:p w14:paraId="2B375F5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cổ tức được ghi nhận khi quyền nhận cổ tức của Quỹ được xác lập.  Cổ tức bằng cổ phiếu không được ghi nhận là thu nhập.</w:t>
      </w:r>
    </w:p>
    <w:p w14:paraId="065075E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w:t>
      </w:r>
    </w:p>
    <w:p w14:paraId="57C8D43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Lưu ký (đối với chứng khoán đã niêm yết) và khi hoàn tất hợp đồng chuyển nhượng tài sản (đối với chứng khoán chưa niêm yết)."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773EF16B"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5.7. Nguyên tắc và phương pháp kế toán ghi nhận chi phí:</w:t>
      </w:r>
    </w:p>
    <w:p w14:paraId="01DA6F2B" w14:textId="349C9CFA"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khoản chi phí được ghi nhận trong báo cáo thu nhập khi phát sinh.</w:t>
      </w:r>
    </w:p>
    <w:p w14:paraId="3F2C92F2" w14:textId="06979FC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5.8. Sự kiện trọng yếu phát sinh sau ngày kết thúc kỳ kế toán giữa niên độ chưa được phản ánh trong</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Báo cáo tài chính giữa niên độ đó: Không có</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2C0E197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5.9. Trình bày các chính sách định giá các khoản đầu tư:</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33F2E17D" w14:textId="7A1C7329"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Đồng Việt Nam: Số dư tiền mặt tại ngày trước ngày định giá.</w:t>
      </w:r>
    </w:p>
    <w:p w14:paraId="07C13F4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Ngoại tệ: Giá trị quy đổi ra VND theo tỷ giá hiện hành tại các tổ chức tín dụng được phép kinh doanh ngoại hối tại ngày trước ngày định giá</w:t>
      </w:r>
    </w:p>
    <w:p w14:paraId="1BA5F3A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gửi kỳ hạn: Giá trị tiền gửi cộng lãi chưa được thanh toán tính tới ngày trước ngày định giá</w:t>
      </w:r>
    </w:p>
    <w:p w14:paraId="4880BAC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Tín phiếu kho bạc, chứng chỉ tiền gửi có thể chuyển nhượng và các công cụ thị trường tiền tệ khác: Giá mua cộng với lãi lũy kế tính tới ngày trước ngày định giá.</w:t>
      </w:r>
    </w:p>
    <w:p w14:paraId="0D8A938E" w14:textId="19B4300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Các công cụ không trả lãi bao gồm tín phiếu, trái phiếu không trả lãi, giấy tờ có giá và các công cụ không trả lãi khác: Giá yết trên hệ thống giao dịch của Sở giao dịch chứng khoán; trường hợp không có giá yết thì mức giá được xác định theo hoặc mô hình chiết khấu dòng tiền căn cứ vào lãi suất trúng thầu hoặc một lãi suất khác do BĐDQ phê duyệt và thời gian nắm giữ công cụ</w:t>
      </w:r>
      <w:r w:rsidR="00CC55FD" w:rsidRPr="00A62440">
        <w:rPr>
          <w:rFonts w:ascii="Times New Roman" w:eastAsia="Times New Roman" w:hAnsi="Times New Roman" w:cs="Times New Roman"/>
          <w:bCs/>
          <w:lang w:val="vi-VN"/>
        </w:rPr>
        <w: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00A2011"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w:t>
      </w:r>
    </w:p>
    <w:p w14:paraId="04219010" w14:textId="77777777" w:rsidR="006820F2"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Trái phiếu niêm yết:</w:t>
      </w:r>
    </w:p>
    <w:p w14:paraId="1846296C" w14:textId="0D189BE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yết bình quân trên hệ thống giao dịch hoặc tên gọi khác, tùy thuộc vào quy định nội bộ của Sở giao dịch chứng khoán tại ngày có giao dịch gần nhất trước ngày định giá cộng lãi lũy kế;</w:t>
      </w:r>
    </w:p>
    <w:p w14:paraId="56AFC71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Trong trường hợp không có giao dịch nhiều hơn 15 ngày tính đến ngày định giá, giá trái phiếu sẽ được xác định theo thứ tự ưu tiên như sau: </w:t>
      </w:r>
    </w:p>
    <w:p w14:paraId="307663D3" w14:textId="76C6D45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r w:rsidR="006820F2" w:rsidRPr="00A62440">
        <w:rPr>
          <w:rFonts w:ascii="Times New Roman" w:eastAsia="Times New Roman" w:hAnsi="Times New Roman" w:cs="Times New Roman"/>
          <w:bCs/>
          <w:lang w:val="vi-VN"/>
        </w:rPr>
        <w:t>.</w:t>
      </w:r>
    </w:p>
    <w:p w14:paraId="48E069A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cuối cùng có sẵn (giá cũ). Việc sử dụng giá cũ này phải được giám sát và tuân theo Chính sách sử dụng giá cũ quy định trong Chính sách Định giá tài sản, được phê duyệt bởi BĐDQ; </w:t>
      </w:r>
    </w:p>
    <w:p w14:paraId="6441D088"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4BE9D95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 xml:space="preserve">+ Mệnh giá cộng lãi lũy kế; </w:t>
      </w:r>
    </w:p>
    <w:p w14:paraId="6543693E" w14:textId="663CF31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62967C8" w14:textId="6E5928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 không niêm yết:</w:t>
      </w:r>
    </w:p>
    <w:p w14:paraId="5D7F51F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p>
    <w:p w14:paraId="7877BF80"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không có các loại giá nêu trên, giá trái phiếu không niêm yết sẽ được xác định theo thứ tự ưu tiên sau:</w:t>
      </w:r>
    </w:p>
    <w:p w14:paraId="24FA84BE" w14:textId="4680255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39C32E9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hợp lý sử dụng các kỹ thuật định giá phù hợp được phê duyệt bởi BĐDQ; </w:t>
      </w:r>
    </w:p>
    <w:p w14:paraId="0FDF07D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Mệnh giá cộng lãi lũy kế;</w:t>
      </w:r>
    </w:p>
    <w:p w14:paraId="7A3D54D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p>
    <w:p w14:paraId="78D38091" w14:textId="06A63AA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w:t>
      </w:r>
    </w:p>
    <w:p w14:paraId="64F82DEA" w14:textId="7BF8256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niêm yết</w:t>
      </w:r>
    </w:p>
    <w:p w14:paraId="200651F0"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7273CAB2" w14:textId="4101FF6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5F33FCF5" w14:textId="4BC88D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w:t>
      </w:r>
      <w:r w:rsidR="006820F2"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sử dụng giá cũ này phải được giám sát và tuân theo Chính sách sử dụng giá cũ quy định trong Chính sách Định giá tài sản;</w:t>
      </w:r>
    </w:p>
    <w:p w14:paraId="687C2B3A"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E93434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728A1579" w14:textId="0DF330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3666B2D3" w14:textId="42C995B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Công ty đại chúng đăng ký giao dịch trên hệ thống UpCom</w:t>
      </w:r>
    </w:p>
    <w:p w14:paraId="1CE729D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6B3CC0C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14BC311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12B40C0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203D7B99" w14:textId="0E35EB71"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2F545FF8" w14:textId="77777777" w:rsidR="006820F2"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mua.</w:t>
      </w:r>
    </w:p>
    <w:p w14:paraId="3F1FA5E4" w14:textId="2D9B067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bị đình chỉ giao dịch, hoặc hủy niêm yết hoặc hủy đăng ký giao dịch</w:t>
      </w:r>
    </w:p>
    <w:p w14:paraId="3C2BED9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được xác định theo thứ tự ưu tiên sau:</w:t>
      </w:r>
    </w:p>
    <w:p w14:paraId="7C4600C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249802F2" w14:textId="158272A1"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6B5CA1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hoặc soát xét; </w:t>
      </w:r>
    </w:p>
    <w:p w14:paraId="6D7BB5D1"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22D4284F" w14:textId="08EC54BE"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tổ chức trong tình trạng giải thể, phá sản</w:t>
      </w:r>
    </w:p>
    <w:p w14:paraId="401B357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Là một trong các mức giá sau:</w:t>
      </w:r>
    </w:p>
    <w:p w14:paraId="6EDEFD1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- 80% giá trị thanh lý của cổ phiếu đó tại ngày lập bảng cân đối kế toán gần nhất trước ngày định giá; hoặc</w:t>
      </w:r>
    </w:p>
    <w:p w14:paraId="5A3A67E8"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đã được BĐDQ chấp thuận.</w:t>
      </w:r>
    </w:p>
    <w:p w14:paraId="65664DFB" w14:textId="1A44BE0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phần và phần góp vốn khác.</w:t>
      </w:r>
    </w:p>
    <w:p w14:paraId="20CA7F4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thị trường là giá trung bình của các giao dịch thực hiện thành công tại ngày giao dịch gần nhất trước ngày định giá do các tổ chức báo giá cung cấp.</w:t>
      </w:r>
    </w:p>
    <w:p w14:paraId="1E7D69F9"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 Trường hợp không có báo giá từ các tổ chức báo giá thì mức giá được xác định theo thứ tự như sau:</w:t>
      </w:r>
    </w:p>
    <w:p w14:paraId="5F680515" w14:textId="5C64B4E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mua/Giá trị vốn góp; </w:t>
      </w:r>
    </w:p>
    <w:p w14:paraId="3497CCD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w:t>
      </w:r>
    </w:p>
    <w:p w14:paraId="6323A5D3"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được BĐDQ chấp thuận.</w:t>
      </w:r>
    </w:p>
    <w:p w14:paraId="6A43F857" w14:textId="2DBA678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w:t>
      </w:r>
    </w:p>
    <w:p w14:paraId="4C9B043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đóng cửa hoặc tên gọi khác tùy thuộc vào quy định nội bộ của Sở giao dịch chứng khoán tại ngày giao dịch gần nhất trước ngày định giá. </w:t>
      </w:r>
    </w:p>
    <w:p w14:paraId="71FD66F4" w14:textId="31E4BE4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chứng khoán phái sinh niêm yết không có giao dịch trong nhiều hơn 15 ngày tính đến ngày định giá trên hệ thống giao dịch tại Sở giao dịch chứng khoán, giá chứng khoán phái sinh niêm yết sẽ được định giá và cung cấp bởi các công ty dịch vụ cung cấp giá độc lập, uy tín trên thị trường, theo thứ tự ưu tiên  là Interactive Data Corporation (“ICE”), Markit, Reuters and Bloomberg</w:t>
      </w:r>
      <w:r w:rsidR="00CC55FD" w:rsidRPr="00A62440">
        <w:rPr>
          <w:rFonts w:ascii="Times New Roman" w:eastAsia="Times New Roman" w:hAnsi="Times New Roman" w:cs="Times New Roman"/>
          <w:bCs/>
          <w:lang w:val="vi-VN"/>
        </w:rPr>
        <w:t>.</w:t>
      </w:r>
    </w:p>
    <w:p w14:paraId="21638897" w14:textId="2A4AA7A1"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 niêm yết không có báo giá thị trường: Giá xác định theo phương pháp đã được BĐDQ chấp thuận.</w:t>
      </w:r>
    </w:p>
    <w:p w14:paraId="027BDCB4" w14:textId="292BF61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tài sản khác được phép đầu tư</w:t>
      </w:r>
    </w:p>
    <w:p w14:paraId="4CA2AD93" w14:textId="76A88AE3" w:rsidR="002026EF"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xác định theo phương pháp định giá được BĐDQ của Quỹ phê duyệt.</w:t>
      </w:r>
      <w:r w:rsidR="006820F2" w:rsidRPr="006820F2" w:rsidDel="008E5ADB">
        <w:rPr>
          <w:rFonts w:ascii="Times New Roman" w:eastAsia="Times New Roman" w:hAnsi="Times New Roman" w:cs="Times New Roman"/>
          <w:bCs/>
          <w:lang w:val="vi-VN"/>
        </w:rPr>
        <w:t xml:space="preserve"> </w:t>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p>
    <w:tbl>
      <w:tblPr>
        <w:tblW w:w="5000" w:type="pct"/>
        <w:tblLook w:val="01E0" w:firstRow="1" w:lastRow="1" w:firstColumn="1" w:lastColumn="1" w:noHBand="0" w:noVBand="0"/>
      </w:tblPr>
      <w:tblGrid>
        <w:gridCol w:w="2643"/>
        <w:gridCol w:w="534"/>
        <w:gridCol w:w="2787"/>
        <w:gridCol w:w="483"/>
        <w:gridCol w:w="2768"/>
      </w:tblGrid>
      <w:tr w:rsidR="002026EF" w:rsidRPr="00CC55FD" w14:paraId="19D9F3B3" w14:textId="77777777" w:rsidTr="002026EF">
        <w:trPr>
          <w:trHeight w:val="281"/>
        </w:trPr>
        <w:tc>
          <w:tcPr>
            <w:tcW w:w="1434" w:type="pct"/>
          </w:tcPr>
          <w:p w14:paraId="17E9B36D"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lập</w:t>
            </w:r>
            <w:proofErr w:type="spellEnd"/>
            <w:r w:rsidRPr="00A62440">
              <w:rPr>
                <w:rFonts w:ascii="Times New Roman" w:hAnsi="Times New Roman" w:cs="Times New Roman"/>
              </w:rPr>
              <w:t>:</w:t>
            </w:r>
          </w:p>
        </w:tc>
        <w:tc>
          <w:tcPr>
            <w:tcW w:w="290" w:type="pct"/>
          </w:tcPr>
          <w:p w14:paraId="7B9519F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Pr>
          <w:p w14:paraId="2211E981"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c>
          <w:tcPr>
            <w:tcW w:w="262" w:type="pct"/>
          </w:tcPr>
          <w:p w14:paraId="2437CC8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Pr>
          <w:p w14:paraId="0BAD7E7B"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r>
      <w:tr w:rsidR="002026EF" w:rsidRPr="00CC55FD" w14:paraId="7B1909E8" w14:textId="77777777" w:rsidTr="002026EF">
        <w:trPr>
          <w:trHeight w:val="445"/>
        </w:trPr>
        <w:tc>
          <w:tcPr>
            <w:tcW w:w="1434" w:type="pct"/>
            <w:tcBorders>
              <w:bottom w:val="single" w:sz="4" w:space="0" w:color="auto"/>
            </w:tcBorders>
          </w:tcPr>
          <w:p w14:paraId="5966EAA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C44CD3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820BA0"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04E5FF" w14:textId="77777777" w:rsidR="002026EF" w:rsidRPr="00A62440" w:rsidRDefault="002026EF" w:rsidP="00A62440">
            <w:pPr>
              <w:keepNext/>
              <w:tabs>
                <w:tab w:val="center" w:pos="2268"/>
                <w:tab w:val="center" w:pos="5670"/>
              </w:tabs>
              <w:spacing w:line="240" w:lineRule="auto"/>
              <w:rPr>
                <w:rFonts w:ascii="Times New Roman" w:hAnsi="Times New Roman" w:cs="Times New Roman"/>
              </w:rPr>
            </w:pPr>
          </w:p>
        </w:tc>
        <w:tc>
          <w:tcPr>
            <w:tcW w:w="290" w:type="pct"/>
          </w:tcPr>
          <w:p w14:paraId="14F83E8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Borders>
              <w:bottom w:val="single" w:sz="4" w:space="0" w:color="auto"/>
            </w:tcBorders>
          </w:tcPr>
          <w:p w14:paraId="12849C0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262" w:type="pct"/>
          </w:tcPr>
          <w:p w14:paraId="0462E5E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Borders>
              <w:bottom w:val="single" w:sz="4" w:space="0" w:color="auto"/>
            </w:tcBorders>
          </w:tcPr>
          <w:p w14:paraId="611B9B1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r>
      <w:tr w:rsidR="002026EF" w:rsidRPr="00CC55FD" w14:paraId="4FF32515" w14:textId="77777777" w:rsidTr="002026EF">
        <w:trPr>
          <w:trHeight w:val="545"/>
        </w:trPr>
        <w:tc>
          <w:tcPr>
            <w:tcW w:w="1434" w:type="pct"/>
            <w:tcBorders>
              <w:top w:val="single" w:sz="4" w:space="0" w:color="auto"/>
            </w:tcBorders>
          </w:tcPr>
          <w:p w14:paraId="697D4735" w14:textId="3AE5295D"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90" w:type="pct"/>
          </w:tcPr>
          <w:p w14:paraId="0621BA4A"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rPr>
            </w:pPr>
          </w:p>
        </w:tc>
        <w:tc>
          <w:tcPr>
            <w:tcW w:w="1512" w:type="pct"/>
            <w:tcBorders>
              <w:top w:val="single" w:sz="4" w:space="0" w:color="auto"/>
            </w:tcBorders>
          </w:tcPr>
          <w:p w14:paraId="74C4E6E8" w14:textId="0470BB3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62" w:type="pct"/>
          </w:tcPr>
          <w:p w14:paraId="40DB3C01"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lang w:val="es-HN"/>
              </w:rPr>
            </w:pPr>
          </w:p>
        </w:tc>
        <w:tc>
          <w:tcPr>
            <w:tcW w:w="1502" w:type="pct"/>
            <w:tcBorders>
              <w:top w:val="single" w:sz="4" w:space="0" w:color="auto"/>
            </w:tcBorders>
          </w:tcPr>
          <w:p w14:paraId="69F0A4E7" w14:textId="73CAEC11"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iCs/>
                <w:lang w:val="es-HN"/>
              </w:rPr>
            </w:pPr>
          </w:p>
        </w:tc>
      </w:tr>
      <w:bookmarkEnd w:id="0"/>
    </w:tbl>
    <w:p w14:paraId="3DE27770" w14:textId="77777777" w:rsidR="00A90089" w:rsidRPr="00CC55FD" w:rsidRDefault="00A90089" w:rsidP="00A62440">
      <w:pPr>
        <w:spacing w:line="240" w:lineRule="auto"/>
        <w:rPr>
          <w:rFonts w:ascii="Times New Roman" w:hAnsi="Times New Roman" w:cs="Times New Roman"/>
          <w:b/>
          <w:lang w:val="es-HN"/>
        </w:rPr>
      </w:pPr>
    </w:p>
    <w:sectPr w:rsidR="00A90089" w:rsidRPr="00CC55FD" w:rsidSect="00667503">
      <w:headerReference w:type="even" r:id="rId8"/>
      <w:headerReference w:type="default" r:id="rId9"/>
      <w:footerReference w:type="default" r:id="rId10"/>
      <w:headerReference w:type="first" r:id="rId11"/>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56D76" w14:textId="77777777" w:rsidR="00444CE1" w:rsidRDefault="00444CE1" w:rsidP="001C71B0">
      <w:pPr>
        <w:spacing w:after="0" w:line="240" w:lineRule="auto"/>
      </w:pPr>
      <w:r>
        <w:separator/>
      </w:r>
    </w:p>
  </w:endnote>
  <w:endnote w:type="continuationSeparator" w:id="0">
    <w:p w14:paraId="49D555F1" w14:textId="77777777" w:rsidR="00444CE1" w:rsidRDefault="00444CE1" w:rsidP="001C71B0">
      <w:pPr>
        <w:spacing w:after="0" w:line="240" w:lineRule="auto"/>
      </w:pPr>
      <w:r>
        <w:continuationSeparator/>
      </w:r>
    </w:p>
  </w:endnote>
  <w:endnote w:type="continuationNotice" w:id="1">
    <w:p w14:paraId="2614EBE1" w14:textId="77777777" w:rsidR="00444CE1" w:rsidRDefault="00444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AA1DD" w14:textId="77777777" w:rsidR="00444CE1" w:rsidRDefault="00444CE1" w:rsidP="001C71B0">
      <w:pPr>
        <w:spacing w:after="0" w:line="240" w:lineRule="auto"/>
      </w:pPr>
      <w:r>
        <w:separator/>
      </w:r>
    </w:p>
  </w:footnote>
  <w:footnote w:type="continuationSeparator" w:id="0">
    <w:p w14:paraId="071133F9" w14:textId="77777777" w:rsidR="00444CE1" w:rsidRDefault="00444CE1" w:rsidP="001C71B0">
      <w:pPr>
        <w:spacing w:after="0" w:line="240" w:lineRule="auto"/>
      </w:pPr>
      <w:r>
        <w:continuationSeparator/>
      </w:r>
    </w:p>
  </w:footnote>
  <w:footnote w:type="continuationNotice" w:id="1">
    <w:p w14:paraId="327A8114" w14:textId="77777777" w:rsidR="00444CE1" w:rsidRDefault="00444C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3CDA0" w14:textId="49E167A8" w:rsidR="00E83B86" w:rsidRDefault="00E83B86">
    <w:pPr>
      <w:pStyle w:val="Header"/>
    </w:pPr>
    <w:r>
      <w:rPr>
        <w:noProof/>
      </w:rPr>
      <mc:AlternateContent>
        <mc:Choice Requires="wps">
          <w:drawing>
            <wp:anchor distT="0" distB="0" distL="0" distR="0" simplePos="0" relativeHeight="251658241" behindDoc="0" locked="0" layoutInCell="1" allowOverlap="1" wp14:anchorId="67526F19" wp14:editId="5A86CF13">
              <wp:simplePos x="635" y="635"/>
              <wp:positionH relativeFrom="page">
                <wp:align>left</wp:align>
              </wp:positionH>
              <wp:positionV relativeFrom="page">
                <wp:align>top</wp:align>
              </wp:positionV>
              <wp:extent cx="443865" cy="443865"/>
              <wp:effectExtent l="0" t="0" r="12065" b="1270"/>
              <wp:wrapNone/>
              <wp:docPr id="3"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851575" w14:textId="4494DE1B"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7526F19" id="_x0000_t202" coordsize="21600,21600" o:spt="202" path="m,l,21600r21600,l21600,xe">
              <v:stroke joinstyle="miter"/>
              <v:path gradientshapeok="t" o:connecttype="rect"/>
            </v:shapetype>
            <v:shape id="Text Box 3" o:spid="_x0000_s1026" type="#_x0000_t202" alt="CONFIDENTIAL"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18851575" w14:textId="4494DE1B"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A75A" w14:textId="4FD1FD3F" w:rsidR="004D0ED5" w:rsidRDefault="00E83B86">
    <w:pPr>
      <w:pStyle w:val="Header"/>
      <w:jc w:val="center"/>
    </w:pPr>
    <w:r>
      <w:rPr>
        <w:noProof/>
      </w:rPr>
      <mc:AlternateContent>
        <mc:Choice Requires="wps">
          <w:drawing>
            <wp:anchor distT="0" distB="0" distL="0" distR="0" simplePos="0" relativeHeight="251658240" behindDoc="0" locked="0" layoutInCell="1" allowOverlap="1" wp14:anchorId="45ED3E5E" wp14:editId="0C4FA3D0">
              <wp:simplePos x="905347" y="452673"/>
              <wp:positionH relativeFrom="page">
                <wp:align>left</wp:align>
              </wp:positionH>
              <wp:positionV relativeFrom="page">
                <wp:align>top</wp:align>
              </wp:positionV>
              <wp:extent cx="443865" cy="443865"/>
              <wp:effectExtent l="0" t="0" r="12065" b="1270"/>
              <wp:wrapNone/>
              <wp:docPr id="4" name="Text Box 4"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F0544D" w14:textId="10DEC4F9"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5ED3E5E" id="_x0000_t202" coordsize="21600,21600" o:spt="202" path="m,l,21600r21600,l21600,xe">
              <v:stroke joinstyle="miter"/>
              <v:path gradientshapeok="t" o:connecttype="rect"/>
            </v:shapetype>
            <v:shape id="Text Box 4" o:spid="_x0000_s1027" type="#_x0000_t202" alt="CONFIDENTIAL"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AF0544D" w14:textId="10DEC4F9"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6D17F" w14:textId="39ACEEC3" w:rsidR="00E83B86" w:rsidRDefault="00E83B86">
    <w:pPr>
      <w:pStyle w:val="Header"/>
    </w:pPr>
    <w:r>
      <w:rPr>
        <w:noProof/>
      </w:rPr>
      <mc:AlternateContent>
        <mc:Choice Requires="wps">
          <w:drawing>
            <wp:anchor distT="0" distB="0" distL="0" distR="0" simplePos="0" relativeHeight="251658242" behindDoc="0" locked="0" layoutInCell="1" allowOverlap="1" wp14:anchorId="3A5070A1" wp14:editId="21F6FD08">
              <wp:simplePos x="635" y="635"/>
              <wp:positionH relativeFrom="page">
                <wp:align>left</wp:align>
              </wp:positionH>
              <wp:positionV relativeFrom="page">
                <wp:align>top</wp:align>
              </wp:positionV>
              <wp:extent cx="443865" cy="443865"/>
              <wp:effectExtent l="0" t="0" r="12065" b="1270"/>
              <wp:wrapNone/>
              <wp:docPr id="2"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7F8C97" w14:textId="114145EA"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A5070A1" id="_x0000_t202" coordsize="21600,21600" o:spt="202" path="m,l,21600r21600,l21600,xe">
              <v:stroke joinstyle="miter"/>
              <v:path gradientshapeok="t" o:connecttype="rect"/>
            </v:shapetype>
            <v:shape id="Text Box 2" o:spid="_x0000_s1028" type="#_x0000_t202" alt="CONFIDENTIAL" style="position:absolute;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2D7F8C97" w14:textId="114145EA"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AF70C8"/>
    <w:multiLevelType w:val="hybridMultilevel"/>
    <w:tmpl w:val="4704C2C0"/>
    <w:lvl w:ilvl="0" w:tplc="62DAE1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853202"/>
    <w:multiLevelType w:val="hybridMultilevel"/>
    <w:tmpl w:val="5CD85E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6C6080"/>
    <w:multiLevelType w:val="hybridMultilevel"/>
    <w:tmpl w:val="9E64F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82D0D"/>
    <w:multiLevelType w:val="hybridMultilevel"/>
    <w:tmpl w:val="0966C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6B72B8E"/>
    <w:multiLevelType w:val="multilevel"/>
    <w:tmpl w:val="7DA6A57E"/>
    <w:lvl w:ilvl="0">
      <w:start w:val="1"/>
      <w:numFmt w:val="lowerRoman"/>
      <w:lvlText w:val="%1)"/>
      <w:lvlJc w:val="left"/>
      <w:pPr>
        <w:ind w:left="720" w:hanging="720"/>
      </w:pPr>
      <w:rPr>
        <w:rFonts w:hint="default"/>
        <w:b w:val="0"/>
        <w:bCs w:val="0"/>
        <w:color w:val="68737A"/>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864" w:hanging="432"/>
      </w:pPr>
      <w:rPr>
        <w:rFonts w:hint="default"/>
      </w:rPr>
    </w:lvl>
    <w:lvl w:ilvl="5">
      <w:start w:val="1"/>
      <w:numFmt w:val="bullet"/>
      <w:lvlText w:val=""/>
      <w:lvlJc w:val="left"/>
      <w:pPr>
        <w:ind w:left="1440" w:hanging="1440"/>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8" w15:restartNumberingAfterBreak="0">
    <w:nsid w:val="19DF2E13"/>
    <w:multiLevelType w:val="hybridMultilevel"/>
    <w:tmpl w:val="B98E0B72"/>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1F2E6856"/>
    <w:multiLevelType w:val="multilevel"/>
    <w:tmpl w:val="F9666C4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5D4F2F"/>
    <w:multiLevelType w:val="hybridMultilevel"/>
    <w:tmpl w:val="F35E11D4"/>
    <w:lvl w:ilvl="0" w:tplc="1A7C81D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0B7EA5"/>
    <w:multiLevelType w:val="multilevel"/>
    <w:tmpl w:val="41780742"/>
    <w:lvl w:ilvl="0">
      <w:start w:val="1"/>
      <w:numFmt w:val="upperRoman"/>
      <w:lvlText w:val="%1."/>
      <w:lvlJc w:val="left"/>
      <w:pPr>
        <w:ind w:left="720" w:hanging="720"/>
      </w:pPr>
      <w:rPr>
        <w:rFonts w:ascii="Times New Roman" w:hAnsi="Times New Roman" w:hint="default"/>
        <w:b/>
        <w:bCs/>
        <w:color w:val="455560"/>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720" w:hanging="432"/>
      </w:pPr>
      <w:rPr>
        <w:rFonts w:hint="default"/>
      </w:rPr>
    </w:lvl>
    <w:lvl w:ilvl="5">
      <w:start w:val="1"/>
      <w:numFmt w:val="bullet"/>
      <w:lvlText w:val=""/>
      <w:lvlJc w:val="left"/>
      <w:pPr>
        <w:ind w:left="864" w:hanging="432"/>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12"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A4F56C0"/>
    <w:multiLevelType w:val="hybridMultilevel"/>
    <w:tmpl w:val="910C1E86"/>
    <w:lvl w:ilvl="0" w:tplc="836093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CD47B6"/>
    <w:multiLevelType w:val="multilevel"/>
    <w:tmpl w:val="C7FA674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E04C44"/>
    <w:multiLevelType w:val="hybridMultilevel"/>
    <w:tmpl w:val="029A4E6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9BE3B8C"/>
    <w:multiLevelType w:val="hybridMultilevel"/>
    <w:tmpl w:val="BF1E79D8"/>
    <w:lvl w:ilvl="0" w:tplc="E2B608B2">
      <w:start w:val="1"/>
      <w:numFmt w:val="lowerRoman"/>
      <w:lvlText w:val="%1."/>
      <w:lvlJc w:val="left"/>
      <w:pPr>
        <w:ind w:left="1080" w:hanging="720"/>
      </w:pPr>
      <w:rPr>
        <w:rFonts w:hint="default"/>
        <w:b/>
        <w:bCs w:val="0"/>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E46B92"/>
    <w:multiLevelType w:val="multilevel"/>
    <w:tmpl w:val="41780742"/>
    <w:lvl w:ilvl="0">
      <w:start w:val="1"/>
      <w:numFmt w:val="upperRoman"/>
      <w:lvlText w:val="%1."/>
      <w:lvlJc w:val="left"/>
      <w:pPr>
        <w:ind w:left="720" w:hanging="720"/>
      </w:pPr>
      <w:rPr>
        <w:rFonts w:ascii="Times New Roman" w:hAnsi="Times New Roman" w:hint="default"/>
        <w:b/>
        <w:bCs/>
        <w:color w:val="455560"/>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720" w:hanging="432"/>
      </w:pPr>
      <w:rPr>
        <w:rFonts w:hint="default"/>
      </w:rPr>
    </w:lvl>
    <w:lvl w:ilvl="5">
      <w:start w:val="1"/>
      <w:numFmt w:val="bullet"/>
      <w:lvlText w:val=""/>
      <w:lvlJc w:val="left"/>
      <w:pPr>
        <w:ind w:left="864" w:hanging="432"/>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19" w15:restartNumberingAfterBreak="0">
    <w:nsid w:val="52D874C0"/>
    <w:multiLevelType w:val="hybridMultilevel"/>
    <w:tmpl w:val="0270EB3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38E3B80"/>
    <w:multiLevelType w:val="multilevel"/>
    <w:tmpl w:val="E5F6A1C0"/>
    <w:lvl w:ilvl="0">
      <w:start w:val="1"/>
      <w:numFmt w:val="decimal"/>
      <w:lvlText w:val="%1."/>
      <w:lvlJc w:val="left"/>
      <w:pPr>
        <w:ind w:left="1080" w:hanging="720"/>
      </w:pPr>
      <w:rPr>
        <w:rFonts w:ascii="Times New Roman" w:eastAsia="Times New Roman" w:hAnsi="Times New Roman" w:cs="Times New Roman"/>
      </w:rPr>
    </w:lvl>
    <w:lvl w:ilvl="1">
      <w:start w:val="1"/>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BD01768"/>
    <w:multiLevelType w:val="hybridMultilevel"/>
    <w:tmpl w:val="4B8E0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887C32"/>
    <w:multiLevelType w:val="hybridMultilevel"/>
    <w:tmpl w:val="BBC2B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16299C"/>
    <w:multiLevelType w:val="hybridMultilevel"/>
    <w:tmpl w:val="E202E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D3177D"/>
    <w:multiLevelType w:val="hybridMultilevel"/>
    <w:tmpl w:val="1590A2A8"/>
    <w:lvl w:ilvl="0" w:tplc="FCCA71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F9D03AF"/>
    <w:multiLevelType w:val="hybridMultilevel"/>
    <w:tmpl w:val="8670DFD4"/>
    <w:lvl w:ilvl="0" w:tplc="611263A8">
      <w:start w:val="36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85708078">
    <w:abstractNumId w:val="14"/>
  </w:num>
  <w:num w:numId="2" w16cid:durableId="1276013072">
    <w:abstractNumId w:val="26"/>
  </w:num>
  <w:num w:numId="3" w16cid:durableId="1555652456">
    <w:abstractNumId w:val="24"/>
  </w:num>
  <w:num w:numId="4" w16cid:durableId="1357654747">
    <w:abstractNumId w:val="0"/>
  </w:num>
  <w:num w:numId="5" w16cid:durableId="1424959321">
    <w:abstractNumId w:val="12"/>
  </w:num>
  <w:num w:numId="6" w16cid:durableId="520818913">
    <w:abstractNumId w:val="6"/>
  </w:num>
  <w:num w:numId="7" w16cid:durableId="63190623">
    <w:abstractNumId w:val="3"/>
  </w:num>
  <w:num w:numId="8" w16cid:durableId="1415475797">
    <w:abstractNumId w:val="25"/>
  </w:num>
  <w:num w:numId="9" w16cid:durableId="1860316451">
    <w:abstractNumId w:val="20"/>
  </w:num>
  <w:num w:numId="10" w16cid:durableId="447773327">
    <w:abstractNumId w:val="15"/>
  </w:num>
  <w:num w:numId="11" w16cid:durableId="45839662">
    <w:abstractNumId w:val="9"/>
  </w:num>
  <w:num w:numId="12" w16cid:durableId="371345600">
    <w:abstractNumId w:val="16"/>
  </w:num>
  <w:num w:numId="13" w16cid:durableId="1796945791">
    <w:abstractNumId w:val="13"/>
  </w:num>
  <w:num w:numId="14" w16cid:durableId="550657526">
    <w:abstractNumId w:val="19"/>
  </w:num>
  <w:num w:numId="15" w16cid:durableId="220335095">
    <w:abstractNumId w:val="17"/>
  </w:num>
  <w:num w:numId="16" w16cid:durableId="403986893">
    <w:abstractNumId w:val="18"/>
  </w:num>
  <w:num w:numId="17" w16cid:durableId="418412095">
    <w:abstractNumId w:val="1"/>
  </w:num>
  <w:num w:numId="18" w16cid:durableId="767115551">
    <w:abstractNumId w:val="10"/>
  </w:num>
  <w:num w:numId="19" w16cid:durableId="716706676">
    <w:abstractNumId w:val="4"/>
  </w:num>
  <w:num w:numId="20" w16cid:durableId="1448113582">
    <w:abstractNumId w:val="21"/>
  </w:num>
  <w:num w:numId="21" w16cid:durableId="998843660">
    <w:abstractNumId w:val="23"/>
  </w:num>
  <w:num w:numId="22" w16cid:durableId="1132598772">
    <w:abstractNumId w:val="22"/>
  </w:num>
  <w:num w:numId="23" w16cid:durableId="1214542211">
    <w:abstractNumId w:val="2"/>
  </w:num>
  <w:num w:numId="24" w16cid:durableId="2127235579">
    <w:abstractNumId w:val="5"/>
  </w:num>
  <w:num w:numId="25" w16cid:durableId="1767261199">
    <w:abstractNumId w:val="11"/>
  </w:num>
  <w:num w:numId="26" w16cid:durableId="1311014587">
    <w:abstractNumId w:val="27"/>
  </w:num>
  <w:num w:numId="27" w16cid:durableId="1233009885">
    <w:abstractNumId w:val="8"/>
  </w:num>
  <w:num w:numId="28" w16cid:durableId="169445944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50E5"/>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60B"/>
    <w:rsid w:val="0015396D"/>
    <w:rsid w:val="001615DB"/>
    <w:rsid w:val="00162765"/>
    <w:rsid w:val="00162B5E"/>
    <w:rsid w:val="00165D34"/>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1F93"/>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426"/>
    <w:rsid w:val="00246A60"/>
    <w:rsid w:val="002477FF"/>
    <w:rsid w:val="00250861"/>
    <w:rsid w:val="00250AD0"/>
    <w:rsid w:val="00250B57"/>
    <w:rsid w:val="00250D5D"/>
    <w:rsid w:val="00251300"/>
    <w:rsid w:val="0025273A"/>
    <w:rsid w:val="00255C41"/>
    <w:rsid w:val="0026067A"/>
    <w:rsid w:val="002616AA"/>
    <w:rsid w:val="00261AB9"/>
    <w:rsid w:val="00261FE2"/>
    <w:rsid w:val="002623D2"/>
    <w:rsid w:val="00264514"/>
    <w:rsid w:val="00264B74"/>
    <w:rsid w:val="00270931"/>
    <w:rsid w:val="00270D56"/>
    <w:rsid w:val="00274FF0"/>
    <w:rsid w:val="00275ED9"/>
    <w:rsid w:val="002854AB"/>
    <w:rsid w:val="00285A40"/>
    <w:rsid w:val="00285AC2"/>
    <w:rsid w:val="0028623E"/>
    <w:rsid w:val="00292182"/>
    <w:rsid w:val="002936AD"/>
    <w:rsid w:val="002A18FC"/>
    <w:rsid w:val="002A1B1F"/>
    <w:rsid w:val="002A1EBE"/>
    <w:rsid w:val="002A2D83"/>
    <w:rsid w:val="002A4A76"/>
    <w:rsid w:val="002A5624"/>
    <w:rsid w:val="002A755C"/>
    <w:rsid w:val="002B0B43"/>
    <w:rsid w:val="002B139B"/>
    <w:rsid w:val="002B213D"/>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15B9"/>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29F6"/>
    <w:rsid w:val="003433EA"/>
    <w:rsid w:val="00344459"/>
    <w:rsid w:val="00347039"/>
    <w:rsid w:val="00347520"/>
    <w:rsid w:val="00347780"/>
    <w:rsid w:val="00351F33"/>
    <w:rsid w:val="00352ACF"/>
    <w:rsid w:val="00354262"/>
    <w:rsid w:val="0036095A"/>
    <w:rsid w:val="00361974"/>
    <w:rsid w:val="00366D58"/>
    <w:rsid w:val="00367596"/>
    <w:rsid w:val="00370C2C"/>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397F"/>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CE1"/>
    <w:rsid w:val="00444F76"/>
    <w:rsid w:val="0044663D"/>
    <w:rsid w:val="00447210"/>
    <w:rsid w:val="004501A7"/>
    <w:rsid w:val="0045163B"/>
    <w:rsid w:val="00451F53"/>
    <w:rsid w:val="00454777"/>
    <w:rsid w:val="004601BF"/>
    <w:rsid w:val="00461803"/>
    <w:rsid w:val="004655FC"/>
    <w:rsid w:val="00471CB8"/>
    <w:rsid w:val="00472F77"/>
    <w:rsid w:val="004740DA"/>
    <w:rsid w:val="004757DC"/>
    <w:rsid w:val="004813C1"/>
    <w:rsid w:val="00483A63"/>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B676D"/>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D7484"/>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06F65"/>
    <w:rsid w:val="0051037E"/>
    <w:rsid w:val="005136AD"/>
    <w:rsid w:val="005139E8"/>
    <w:rsid w:val="00514257"/>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4C2E"/>
    <w:rsid w:val="00591DB9"/>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5F1"/>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2D13"/>
    <w:rsid w:val="006341B7"/>
    <w:rsid w:val="00634F9D"/>
    <w:rsid w:val="006375F2"/>
    <w:rsid w:val="00643CB6"/>
    <w:rsid w:val="0065130E"/>
    <w:rsid w:val="006602D3"/>
    <w:rsid w:val="00662556"/>
    <w:rsid w:val="00666F32"/>
    <w:rsid w:val="00667503"/>
    <w:rsid w:val="006678BD"/>
    <w:rsid w:val="00667A9B"/>
    <w:rsid w:val="006735BD"/>
    <w:rsid w:val="006750AF"/>
    <w:rsid w:val="006755D7"/>
    <w:rsid w:val="006761B1"/>
    <w:rsid w:val="0068161F"/>
    <w:rsid w:val="00681A90"/>
    <w:rsid w:val="006820F2"/>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17F30"/>
    <w:rsid w:val="007229C1"/>
    <w:rsid w:val="0072483A"/>
    <w:rsid w:val="007254F1"/>
    <w:rsid w:val="0073327B"/>
    <w:rsid w:val="00733A49"/>
    <w:rsid w:val="00734794"/>
    <w:rsid w:val="007365FF"/>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7027"/>
    <w:rsid w:val="007A1F7E"/>
    <w:rsid w:val="007A2801"/>
    <w:rsid w:val="007A349F"/>
    <w:rsid w:val="007A39A5"/>
    <w:rsid w:val="007A6260"/>
    <w:rsid w:val="007B0EB8"/>
    <w:rsid w:val="007B3948"/>
    <w:rsid w:val="007B4A8D"/>
    <w:rsid w:val="007B5AC9"/>
    <w:rsid w:val="007B66F4"/>
    <w:rsid w:val="007B7B36"/>
    <w:rsid w:val="007C3C64"/>
    <w:rsid w:val="007C42B7"/>
    <w:rsid w:val="007C551B"/>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5F7"/>
    <w:rsid w:val="00820CD6"/>
    <w:rsid w:val="008230C1"/>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0F2F"/>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ADB"/>
    <w:rsid w:val="008E5E8B"/>
    <w:rsid w:val="008E7670"/>
    <w:rsid w:val="008F1B6C"/>
    <w:rsid w:val="008F317F"/>
    <w:rsid w:val="008F341E"/>
    <w:rsid w:val="008F7A1F"/>
    <w:rsid w:val="00900FF2"/>
    <w:rsid w:val="00902FF9"/>
    <w:rsid w:val="00904F78"/>
    <w:rsid w:val="0090520F"/>
    <w:rsid w:val="0091009F"/>
    <w:rsid w:val="009104CD"/>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672DC"/>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E72E6"/>
    <w:rsid w:val="009F05A5"/>
    <w:rsid w:val="009F142B"/>
    <w:rsid w:val="009F145B"/>
    <w:rsid w:val="009F2B5B"/>
    <w:rsid w:val="009F4CB2"/>
    <w:rsid w:val="009F51D7"/>
    <w:rsid w:val="009F6D86"/>
    <w:rsid w:val="00A01690"/>
    <w:rsid w:val="00A02F45"/>
    <w:rsid w:val="00A03456"/>
    <w:rsid w:val="00A053AD"/>
    <w:rsid w:val="00A071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2440"/>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355F"/>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A7AB2"/>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5710"/>
    <w:rsid w:val="00C57B91"/>
    <w:rsid w:val="00C609DB"/>
    <w:rsid w:val="00C60A4A"/>
    <w:rsid w:val="00C613BC"/>
    <w:rsid w:val="00C65758"/>
    <w:rsid w:val="00C7039D"/>
    <w:rsid w:val="00C722A0"/>
    <w:rsid w:val="00C77981"/>
    <w:rsid w:val="00C80596"/>
    <w:rsid w:val="00C8086B"/>
    <w:rsid w:val="00C81B06"/>
    <w:rsid w:val="00C848A5"/>
    <w:rsid w:val="00C86D35"/>
    <w:rsid w:val="00C9036B"/>
    <w:rsid w:val="00C91375"/>
    <w:rsid w:val="00C92367"/>
    <w:rsid w:val="00C93878"/>
    <w:rsid w:val="00C96F2A"/>
    <w:rsid w:val="00CA40D8"/>
    <w:rsid w:val="00CA503B"/>
    <w:rsid w:val="00CA61BD"/>
    <w:rsid w:val="00CB0676"/>
    <w:rsid w:val="00CB1B03"/>
    <w:rsid w:val="00CB2B2A"/>
    <w:rsid w:val="00CB3EE1"/>
    <w:rsid w:val="00CB48FB"/>
    <w:rsid w:val="00CC0522"/>
    <w:rsid w:val="00CC195B"/>
    <w:rsid w:val="00CC4A62"/>
    <w:rsid w:val="00CC55FD"/>
    <w:rsid w:val="00CC687B"/>
    <w:rsid w:val="00CC743C"/>
    <w:rsid w:val="00CD2CF0"/>
    <w:rsid w:val="00CD59EC"/>
    <w:rsid w:val="00CD6597"/>
    <w:rsid w:val="00CE0E73"/>
    <w:rsid w:val="00CE2222"/>
    <w:rsid w:val="00CE2B5D"/>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160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D50"/>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96D22"/>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4A67"/>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B86"/>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892"/>
    <w:rsid w:val="00EF3C04"/>
    <w:rsid w:val="00EF411B"/>
    <w:rsid w:val="00EF67FB"/>
    <w:rsid w:val="00EF6F08"/>
    <w:rsid w:val="00F00ACE"/>
    <w:rsid w:val="00F012DD"/>
    <w:rsid w:val="00F01549"/>
    <w:rsid w:val="00F05763"/>
    <w:rsid w:val="00F05BCA"/>
    <w:rsid w:val="00F1331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3E8C"/>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99"/>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3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 w:type="paragraph" w:customStyle="1" w:styleId="Level0">
    <w:name w:val="Level 0"/>
    <w:basedOn w:val="Normal"/>
    <w:rsid w:val="00274FF0"/>
    <w:pPr>
      <w:tabs>
        <w:tab w:val="left" w:pos="576"/>
        <w:tab w:val="left" w:pos="1152"/>
        <w:tab w:val="left" w:pos="1728"/>
        <w:tab w:val="left" w:pos="2304"/>
      </w:tabs>
      <w:spacing w:before="120" w:after="0" w:line="240" w:lineRule="atLeast"/>
      <w:ind w:left="576" w:hanging="576"/>
    </w:pPr>
    <w:rPr>
      <w:rFonts w:ascii="Times New Roman" w:eastAsia="PMingLiU" w:hAnsi="Times New Roman"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3824559">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69357505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4809558">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2182178">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LKjND1inUWipZy6i1uWP+wzhtBaD7aGJP9RHquO8AHQ=</DigestValue>
    </Reference>
    <Reference Type="http://www.w3.org/2000/09/xmldsig#Object" URI="#idOfficeObject">
      <DigestMethod Algorithm="http://www.w3.org/2001/04/xmlenc#sha256"/>
      <DigestValue>vUhSmLhkk5FOQrFgeII5jeaIgypnQtvZmrEJgCf0/+4=</DigestValue>
    </Reference>
    <Reference Type="http://uri.etsi.org/01903#SignedProperties" URI="#idSignedProperties">
      <Transforms>
        <Transform Algorithm="http://www.w3.org/TR/2001/REC-xml-c14n-20010315"/>
      </Transforms>
      <DigestMethod Algorithm="http://www.w3.org/2001/04/xmlenc#sha256"/>
      <DigestValue>wxDMCnrBJXjly3BY9eC+JEIWk9BWIuM5a7BvRy2YPss=</DigestValue>
    </Reference>
  </SignedInfo>
  <SignatureValue>a7sktKsYqsuky69Cs+pnLgfg4h7/Pq5NulmvN2muKSaGENkfWcC218SBvrk5qGp/UdvPyigCOdlB
jSlAgB43HO1ZDUNvoBk8rIybId5ieXhp2ktekk+pvoM09iW+pz4WXwpMH4IVKZLZc8x68IRDlK50
daU4K8KgjY/Wp9CROiuBFHF2meYVEIREoMXQAOQwFoA7bMDWSyIhgnZC2Ezvx8pvyqDSodK+i6ZH
Er4/p9ZdbSyIc8mhCJAiVdOlMDo5/UT/naZZapdmyZZ18sClXOmlg1RXsHbGcRVIuBMUT8jCJTTH
FeSBSHZ7sGmhTksHtXRRdZdZCw0NjurJrZY2yg==</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SlLsT3Ky0k72MCySauRM+cuV13OqO3ZUz/LM20A1Vns=</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1/04/xmlenc#sha256"/>
        <DigestValue>kHEuSjTQ7+PrCjqJCpJ4rRdbNK2JtTU2fc4loGok5Cw=</DigestValue>
      </Reference>
      <Reference URI="/word/document.xml?ContentType=application/vnd.openxmlformats-officedocument.wordprocessingml.document.main+xml">
        <DigestMethod Algorithm="http://www.w3.org/2001/04/xmlenc#sha256"/>
        <DigestValue>BAhwRibFNk1D5mM6dWZSRT6heNZae+yrKXyFG6JN9Mw=</DigestValue>
      </Reference>
      <Reference URI="/word/endnotes.xml?ContentType=application/vnd.openxmlformats-officedocument.wordprocessingml.endnotes+xml">
        <DigestMethod Algorithm="http://www.w3.org/2001/04/xmlenc#sha256"/>
        <DigestValue>gTpVsuIvu5j8vBXL0GLu0HMOV1lUiyy1AdUcf8/q9mI=</DigestValue>
      </Reference>
      <Reference URI="/word/fontTable.xml?ContentType=application/vnd.openxmlformats-officedocument.wordprocessingml.fontTable+xml">
        <DigestMethod Algorithm="http://www.w3.org/2001/04/xmlenc#sha256"/>
        <DigestValue>Pvib56c9LLz6NbkW+2A9bj6QWek64sxFTnk0W/WcBiM=</DigestValue>
      </Reference>
      <Reference URI="/word/footer1.xml?ContentType=application/vnd.openxmlformats-officedocument.wordprocessingml.footer+xml">
        <DigestMethod Algorithm="http://www.w3.org/2001/04/xmlenc#sha256"/>
        <DigestValue>Fp5Tb7K+AsXGCdKWXN9UO6bpPxVfknOSwDUN/WmfDpA=</DigestValue>
      </Reference>
      <Reference URI="/word/footnotes.xml?ContentType=application/vnd.openxmlformats-officedocument.wordprocessingml.footnotes+xml">
        <DigestMethod Algorithm="http://www.w3.org/2001/04/xmlenc#sha256"/>
        <DigestValue>xN+JnO4OMvQCkoZO29AOsMF4u41Nvs48fBc2/STzHJ8=</DigestValue>
      </Reference>
      <Reference URI="/word/header1.xml?ContentType=application/vnd.openxmlformats-officedocument.wordprocessingml.header+xml">
        <DigestMethod Algorithm="http://www.w3.org/2001/04/xmlenc#sha256"/>
        <DigestValue>FbiPRk+fStDvYZ05D5OpwAMjsN3KVWPZYr5x/DtPQus=</DigestValue>
      </Reference>
      <Reference URI="/word/header2.xml?ContentType=application/vnd.openxmlformats-officedocument.wordprocessingml.header+xml">
        <DigestMethod Algorithm="http://www.w3.org/2001/04/xmlenc#sha256"/>
        <DigestValue>U8NFIKDfJeb+hKBGeYXxkSpZuEsVExPgwV+2hMfvDdE=</DigestValue>
      </Reference>
      <Reference URI="/word/header3.xml?ContentType=application/vnd.openxmlformats-officedocument.wordprocessingml.header+xml">
        <DigestMethod Algorithm="http://www.w3.org/2001/04/xmlenc#sha256"/>
        <DigestValue>ogUKn9g+R/qR/aY0y5Cd2vukdkNqiqExyJq1Dw5y1As=</DigestValue>
      </Reference>
      <Reference URI="/word/numbering.xml?ContentType=application/vnd.openxmlformats-officedocument.wordprocessingml.numbering+xml">
        <DigestMethod Algorithm="http://www.w3.org/2001/04/xmlenc#sha256"/>
        <DigestValue>vS1tVxwungl9JlRYIYOBEI6A3VRP0JLU2yR94wOeEbg=</DigestValue>
      </Reference>
      <Reference URI="/word/settings.xml?ContentType=application/vnd.openxmlformats-officedocument.wordprocessingml.settings+xml">
        <DigestMethod Algorithm="http://www.w3.org/2001/04/xmlenc#sha256"/>
        <DigestValue>LaZ0vBy5Af+saFCg5S+SntZf0HQEAuNPSQjTOIeUfwM=</DigestValue>
      </Reference>
      <Reference URI="/word/styles.xml?ContentType=application/vnd.openxmlformats-officedocument.wordprocessingml.styles+xml">
        <DigestMethod Algorithm="http://www.w3.org/2001/04/xmlenc#sha256"/>
        <DigestValue>cSDSJ34Vl20xmrWZnGSRmKLfBorhT/OFu3NhTglk9LE=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79fHrXsDiwrB4EV9X6hFx+tSnDyBAM1Rw3q1BV5QX7c=</DigestValue>
      </Reference>
    </Manifest>
    <SignatureProperties>
      <SignatureProperty Id="idSignatureTime" Target="#idPackageSignature">
        <mdssi:SignatureTime xmlns:mdssi="http://schemas.openxmlformats.org/package/2006/digital-signature">
          <mdssi:Format>YYYY-MM-DDThh:mm:ssTZD</mdssi:Format>
          <mdssi:Value>2025-04-18T07:51:26Z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16.0.17328/26</OfficeVersion>
          <ApplicationVersion>16.0.17328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2025-04-18T07:51:26Z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76274c26-8161-4bde-aa07-b2b522e14278}" enabled="1" method="Privileged" siteId="{b44900f1-2def-4c3b-9ec6-9020d604e19e}" removed="0"/>
  <clbl:label id="{efead094-560e-463c-bb19-c3c75b05d1f6}" enabled="1" method="Standard" siteId="{7007305e-2664-4e6b-b9a4-c4d5ccfd1524}"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12</Pages>
  <Words>5006</Words>
  <Characters>28540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33480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Do Thanh, Duc</cp:lastModifiedBy>
  <cp:revision>7</cp:revision>
  <cp:lastPrinted>2020-01-16T08:54:00Z</cp:lastPrinted>
  <dcterms:created xsi:type="dcterms:W3CDTF">2025-01-16T10:49:00Z</dcterms:created>
  <dcterms:modified xsi:type="dcterms:W3CDTF">2025-04-18T07:46:00Z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ebbfc019-7f88-4fb6-96d6-94ffadd4b772_Enabled">
    <vt:lpwstr>true</vt:lpwstr>
  </property>
  <property fmtid="{D5CDD505-2E9C-101B-9397-08002B2CF9AE}" pid="6" name="MSIP_Label_ebbfc019-7f88-4fb6-96d6-94ffadd4b772_SetDate">
    <vt:lpwstr>2024-04-12T12:27:21Z</vt:lpwstr>
  </property>
  <property fmtid="{D5CDD505-2E9C-101B-9397-08002B2CF9AE}" pid="7" name="MSIP_Label_ebbfc019-7f88-4fb6-96d6-94ffadd4b772_Method">
    <vt:lpwstr>Privileged</vt:lpwstr>
  </property>
  <property fmtid="{D5CDD505-2E9C-101B-9397-08002B2CF9AE}" pid="8" name="MSIP_Label_ebbfc019-7f88-4fb6-96d6-94ffadd4b772_Name">
    <vt:lpwstr>ebbfc019-7f88-4fb6-96d6-94ffadd4b772</vt:lpwstr>
  </property>
  <property fmtid="{D5CDD505-2E9C-101B-9397-08002B2CF9AE}" pid="9" name="MSIP_Label_ebbfc019-7f88-4fb6-96d6-94ffadd4b772_SiteId">
    <vt:lpwstr>b44900f1-2def-4c3b-9ec6-9020d604e19e</vt:lpwstr>
  </property>
  <property fmtid="{D5CDD505-2E9C-101B-9397-08002B2CF9AE}" pid="10" name="MSIP_Label_ebbfc019-7f88-4fb6-96d6-94ffadd4b772_ActionId">
    <vt:lpwstr>64e9d00e-837c-44ba-bff4-e274210397e4</vt:lpwstr>
  </property>
  <property fmtid="{D5CDD505-2E9C-101B-9397-08002B2CF9AE}" pid="11" name="MSIP_Label_ebbfc019-7f88-4fb6-96d6-94ffadd4b772_ContentBits">
    <vt:lpwstr>1</vt:lpwstr>
  </property>
  <property fmtid="{D5CDD505-2E9C-101B-9397-08002B2CF9AE}" pid="12" name="ClassificationContentMarkingHeaderShapeIds">
    <vt:lpwstr>2,3,4</vt:lpwstr>
  </property>
  <property fmtid="{D5CDD505-2E9C-101B-9397-08002B2CF9AE}" pid="13" name="ClassificationContentMarkingHeaderFontProps">
    <vt:lpwstr>#a80000,9,Arial</vt:lpwstr>
  </property>
  <property fmtid="{D5CDD505-2E9C-101B-9397-08002B2CF9AE}" pid="14" name="ClassificationContentMarkingHeaderText">
    <vt:lpwstr>CONFIDENTIAL</vt:lpwstr>
  </property>
</Properties>
</file>